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52A1" w14:textId="5EBC0746" w:rsidR="004A4F34" w:rsidRPr="00AB655A" w:rsidRDefault="004A4F34" w:rsidP="004A4F34">
      <w:pPr>
        <w:pStyle w:val="Title"/>
        <w:jc w:val="center"/>
        <w:rPr>
          <w:lang w:val="en-US"/>
        </w:rPr>
      </w:pPr>
    </w:p>
    <w:p w14:paraId="07E89908" w14:textId="77777777" w:rsidR="004A4F34" w:rsidRPr="00AB655A" w:rsidRDefault="004A4F34" w:rsidP="004A4F34">
      <w:pPr>
        <w:pStyle w:val="Title"/>
        <w:jc w:val="center"/>
        <w:rPr>
          <w:lang w:val="en-US"/>
        </w:rPr>
      </w:pPr>
    </w:p>
    <w:p w14:paraId="530E6842" w14:textId="4E7BE01A" w:rsidR="00DB5960" w:rsidRPr="00AB655A" w:rsidRDefault="00DB5960" w:rsidP="004A4F34">
      <w:pPr>
        <w:pStyle w:val="Title"/>
        <w:jc w:val="center"/>
        <w:rPr>
          <w:b/>
          <w:caps w:val="0"/>
          <w:outline/>
          <w:color w:val="58B6C0" w:themeColor="accent2"/>
          <w:spacing w:val="0"/>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B655A">
        <w:rPr>
          <w:b/>
          <w:caps w:val="0"/>
          <w:outline/>
          <w:color w:val="58B6C0" w:themeColor="accent2"/>
          <w:spacing w:val="0"/>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Manual for Gender Units of Ministries of Labor</w:t>
      </w:r>
    </w:p>
    <w:p w14:paraId="435C9D61" w14:textId="77777777" w:rsidR="00DB5960" w:rsidRPr="00AB655A" w:rsidRDefault="00DB5960" w:rsidP="00DB5960">
      <w:pPr>
        <w:rPr>
          <w:lang w:val="en-US"/>
        </w:rPr>
      </w:pPr>
    </w:p>
    <w:p w14:paraId="1167816F" w14:textId="115E23F1" w:rsidR="00DB5960" w:rsidRPr="00AB655A" w:rsidRDefault="00523C22" w:rsidP="00523C22">
      <w:pPr>
        <w:jc w:val="center"/>
        <w:rPr>
          <w:b/>
          <w:bCs/>
          <w:sz w:val="28"/>
          <w:szCs w:val="28"/>
          <w:lang w:val="en-US"/>
        </w:rPr>
      </w:pPr>
      <w:r w:rsidRPr="00AB655A">
        <w:rPr>
          <w:b/>
          <w:bCs/>
          <w:sz w:val="28"/>
          <w:szCs w:val="28"/>
          <w:lang w:val="en-US"/>
        </w:rPr>
        <w:t>“ABC</w:t>
      </w:r>
      <w:r w:rsidR="00C06BC8" w:rsidRPr="00AB655A">
        <w:rPr>
          <w:b/>
          <w:bCs/>
          <w:sz w:val="28"/>
          <w:szCs w:val="28"/>
          <w:lang w:val="en-US"/>
        </w:rPr>
        <w:t xml:space="preserve"> for their creation and operation” </w:t>
      </w:r>
    </w:p>
    <w:p w14:paraId="25BF2329" w14:textId="30B49883" w:rsidR="003C7A4B" w:rsidRPr="00AB655A" w:rsidRDefault="003C7A4B" w:rsidP="00523C22">
      <w:pPr>
        <w:jc w:val="center"/>
        <w:rPr>
          <w:b/>
          <w:bCs/>
          <w:sz w:val="28"/>
          <w:szCs w:val="28"/>
          <w:lang w:val="en-US"/>
        </w:rPr>
      </w:pPr>
    </w:p>
    <w:p w14:paraId="33F53B38" w14:textId="77777777" w:rsidR="004A4F34" w:rsidRPr="00AB655A" w:rsidRDefault="004A4F34">
      <w:pPr>
        <w:spacing w:after="160" w:line="259" w:lineRule="auto"/>
        <w:rPr>
          <w:rFonts w:ascii="Tahoma" w:hAnsi="Tahoma" w:cs="Tahoma"/>
          <w:sz w:val="22"/>
          <w:szCs w:val="22"/>
          <w:lang w:val="en-US"/>
        </w:rPr>
      </w:pPr>
    </w:p>
    <w:p w14:paraId="760B5664" w14:textId="77777777" w:rsidR="004A4F34" w:rsidRPr="00AB655A" w:rsidRDefault="004A4F34">
      <w:pPr>
        <w:spacing w:after="160" w:line="259" w:lineRule="auto"/>
        <w:rPr>
          <w:rFonts w:ascii="Tahoma" w:hAnsi="Tahoma" w:cs="Tahoma"/>
          <w:sz w:val="22"/>
          <w:szCs w:val="22"/>
          <w:lang w:val="en-US"/>
        </w:rPr>
      </w:pPr>
    </w:p>
    <w:p w14:paraId="505DC481" w14:textId="77777777" w:rsidR="004A4F34" w:rsidRPr="00AB655A" w:rsidRDefault="004A4F34">
      <w:pPr>
        <w:spacing w:after="160" w:line="259" w:lineRule="auto"/>
        <w:rPr>
          <w:rFonts w:ascii="Tahoma" w:hAnsi="Tahoma" w:cs="Tahoma"/>
          <w:sz w:val="22"/>
          <w:szCs w:val="22"/>
          <w:lang w:val="en-US"/>
        </w:rPr>
      </w:pPr>
    </w:p>
    <w:p w14:paraId="4C867EFC" w14:textId="77777777" w:rsidR="004A4F34" w:rsidRPr="00AB655A" w:rsidRDefault="004A4F34">
      <w:pPr>
        <w:spacing w:after="160" w:line="259" w:lineRule="auto"/>
        <w:rPr>
          <w:rFonts w:ascii="Tahoma" w:hAnsi="Tahoma" w:cs="Tahoma"/>
          <w:sz w:val="22"/>
          <w:szCs w:val="22"/>
          <w:lang w:val="en-US"/>
        </w:rPr>
      </w:pPr>
    </w:p>
    <w:p w14:paraId="621282A5" w14:textId="18F79079" w:rsidR="0066428D" w:rsidRPr="00AB655A" w:rsidRDefault="0066428D">
      <w:pPr>
        <w:rPr>
          <w:rFonts w:ascii="Tahoma" w:hAnsi="Tahoma" w:cs="Tahoma"/>
          <w:sz w:val="22"/>
          <w:szCs w:val="22"/>
          <w:lang w:val="en-US"/>
        </w:rPr>
      </w:pPr>
      <w:r w:rsidRPr="00AB655A">
        <w:rPr>
          <w:rFonts w:ascii="Tahoma" w:hAnsi="Tahoma" w:cs="Tahoma"/>
          <w:sz w:val="22"/>
          <w:szCs w:val="22"/>
          <w:lang w:val="en-US"/>
        </w:rPr>
        <w:br w:type="page"/>
      </w:r>
    </w:p>
    <w:sdt>
      <w:sdtPr>
        <w:rPr>
          <w:caps w:val="0"/>
          <w:color w:val="auto"/>
          <w:spacing w:val="0"/>
          <w:sz w:val="20"/>
          <w:szCs w:val="20"/>
          <w:lang w:val="en-US"/>
        </w:rPr>
        <w:id w:val="-1258293413"/>
        <w:docPartObj>
          <w:docPartGallery w:val="Table of Contents"/>
          <w:docPartUnique/>
        </w:docPartObj>
      </w:sdtPr>
      <w:sdtEndPr>
        <w:rPr>
          <w:b/>
          <w:bCs/>
        </w:rPr>
      </w:sdtEndPr>
      <w:sdtContent>
        <w:p w14:paraId="147B989E" w14:textId="699F46B3" w:rsidR="0066428D" w:rsidRPr="00AB655A" w:rsidRDefault="00FB5E9E">
          <w:pPr>
            <w:pStyle w:val="TOCHeading"/>
            <w:rPr>
              <w:lang w:val="en-US"/>
            </w:rPr>
          </w:pPr>
          <w:r w:rsidRPr="00AB655A">
            <w:rPr>
              <w:lang w:val="en-US"/>
            </w:rPr>
            <w:t>ContenT</w:t>
          </w:r>
        </w:p>
        <w:p w14:paraId="0BEC524D" w14:textId="43533AD4" w:rsidR="00855D1D" w:rsidRPr="00AB655A" w:rsidRDefault="0066428D">
          <w:pPr>
            <w:pStyle w:val="TOC1"/>
            <w:rPr>
              <w:sz w:val="22"/>
              <w:szCs w:val="22"/>
              <w:lang w:val="en-US" w:eastAsia="es-US"/>
            </w:rPr>
          </w:pPr>
          <w:r w:rsidRPr="00AB655A">
            <w:rPr>
              <w:lang w:val="en-US"/>
            </w:rPr>
            <w:fldChar w:fldCharType="begin"/>
          </w:r>
          <w:r w:rsidRPr="00AB655A">
            <w:rPr>
              <w:lang w:val="en-US"/>
            </w:rPr>
            <w:instrText xml:space="preserve"> TOC \o "1-3" \h \z \u </w:instrText>
          </w:r>
          <w:r w:rsidRPr="00AB655A">
            <w:rPr>
              <w:lang w:val="en-US"/>
            </w:rPr>
            <w:fldChar w:fldCharType="separate"/>
          </w:r>
          <w:hyperlink w:anchor="_Toc85816989" w:history="1">
            <w:r w:rsidR="00855D1D" w:rsidRPr="00AB655A">
              <w:rPr>
                <w:rStyle w:val="Hyperlink"/>
                <w:lang w:val="en-US"/>
              </w:rPr>
              <w:t>1.</w:t>
            </w:r>
            <w:r w:rsidR="00855D1D" w:rsidRPr="00AB655A">
              <w:rPr>
                <w:sz w:val="22"/>
                <w:szCs w:val="22"/>
                <w:lang w:val="en-US" w:eastAsia="es-US"/>
              </w:rPr>
              <w:tab/>
            </w:r>
            <w:r w:rsidR="00FB5E9E" w:rsidRPr="00AB655A">
              <w:rPr>
                <w:rStyle w:val="Hyperlink"/>
                <w:lang w:val="en-US"/>
              </w:rPr>
              <w:t>Introduction</w:t>
            </w:r>
            <w:r w:rsidR="00855D1D" w:rsidRPr="00AB655A">
              <w:rPr>
                <w:webHidden/>
                <w:lang w:val="en-US"/>
              </w:rPr>
              <w:tab/>
            </w:r>
            <w:r w:rsidR="00855D1D" w:rsidRPr="00AB655A">
              <w:rPr>
                <w:webHidden/>
                <w:lang w:val="en-US"/>
              </w:rPr>
              <w:fldChar w:fldCharType="begin"/>
            </w:r>
            <w:r w:rsidR="00855D1D" w:rsidRPr="00AB655A">
              <w:rPr>
                <w:webHidden/>
                <w:lang w:val="en-US"/>
              </w:rPr>
              <w:instrText xml:space="preserve"> PAGEREF _Toc85816989 \h </w:instrText>
            </w:r>
            <w:r w:rsidR="00855D1D" w:rsidRPr="00AB655A">
              <w:rPr>
                <w:webHidden/>
                <w:lang w:val="en-US"/>
              </w:rPr>
            </w:r>
            <w:r w:rsidR="00855D1D" w:rsidRPr="00AB655A">
              <w:rPr>
                <w:webHidden/>
                <w:lang w:val="en-US"/>
              </w:rPr>
              <w:fldChar w:fldCharType="separate"/>
            </w:r>
            <w:r w:rsidR="00855D1D" w:rsidRPr="00AB655A">
              <w:rPr>
                <w:webHidden/>
                <w:lang w:val="en-US"/>
              </w:rPr>
              <w:t>3</w:t>
            </w:r>
            <w:r w:rsidR="00855D1D" w:rsidRPr="00AB655A">
              <w:rPr>
                <w:webHidden/>
                <w:lang w:val="en-US"/>
              </w:rPr>
              <w:fldChar w:fldCharType="end"/>
            </w:r>
          </w:hyperlink>
        </w:p>
        <w:p w14:paraId="041DFE03" w14:textId="2F156D1A" w:rsidR="00855D1D" w:rsidRPr="00AB655A" w:rsidRDefault="00000000">
          <w:pPr>
            <w:pStyle w:val="TOC1"/>
            <w:rPr>
              <w:sz w:val="22"/>
              <w:szCs w:val="22"/>
              <w:lang w:val="en-US" w:eastAsia="es-US"/>
            </w:rPr>
          </w:pPr>
          <w:hyperlink w:anchor="_Toc85816990" w:history="1">
            <w:r w:rsidR="00855D1D" w:rsidRPr="00AB655A">
              <w:rPr>
                <w:rStyle w:val="Hyperlink"/>
                <w:lang w:val="en-US"/>
              </w:rPr>
              <w:t>2.</w:t>
            </w:r>
            <w:r w:rsidR="00855D1D" w:rsidRPr="00AB655A">
              <w:rPr>
                <w:sz w:val="22"/>
                <w:szCs w:val="22"/>
                <w:lang w:val="en-US" w:eastAsia="es-US"/>
              </w:rPr>
              <w:tab/>
            </w:r>
            <w:r w:rsidR="00FB5E9E" w:rsidRPr="00AB655A">
              <w:rPr>
                <w:rStyle w:val="Hyperlink"/>
                <w:lang w:val="en-US"/>
              </w:rPr>
              <w:t>Justification of the existence and creation of Specialized Gender Units</w:t>
            </w:r>
            <w:r w:rsidR="00855D1D" w:rsidRPr="00AB655A">
              <w:rPr>
                <w:webHidden/>
                <w:lang w:val="en-US"/>
              </w:rPr>
              <w:tab/>
            </w:r>
            <w:r w:rsidR="00855D1D" w:rsidRPr="00AB655A">
              <w:rPr>
                <w:webHidden/>
                <w:lang w:val="en-US"/>
              </w:rPr>
              <w:fldChar w:fldCharType="begin"/>
            </w:r>
            <w:r w:rsidR="00855D1D" w:rsidRPr="00AB655A">
              <w:rPr>
                <w:webHidden/>
                <w:lang w:val="en-US"/>
              </w:rPr>
              <w:instrText xml:space="preserve"> PAGEREF _Toc85816990 \h </w:instrText>
            </w:r>
            <w:r w:rsidR="00855D1D" w:rsidRPr="00AB655A">
              <w:rPr>
                <w:webHidden/>
                <w:lang w:val="en-US"/>
              </w:rPr>
            </w:r>
            <w:r w:rsidR="00855D1D" w:rsidRPr="00AB655A">
              <w:rPr>
                <w:webHidden/>
                <w:lang w:val="en-US"/>
              </w:rPr>
              <w:fldChar w:fldCharType="separate"/>
            </w:r>
            <w:r w:rsidR="00855D1D" w:rsidRPr="00AB655A">
              <w:rPr>
                <w:webHidden/>
                <w:lang w:val="en-US"/>
              </w:rPr>
              <w:t>5</w:t>
            </w:r>
            <w:r w:rsidR="00855D1D" w:rsidRPr="00AB655A">
              <w:rPr>
                <w:webHidden/>
                <w:lang w:val="en-US"/>
              </w:rPr>
              <w:fldChar w:fldCharType="end"/>
            </w:r>
          </w:hyperlink>
        </w:p>
        <w:p w14:paraId="0DA668BF" w14:textId="0FFB3919" w:rsidR="00855D1D" w:rsidRPr="00AB655A" w:rsidRDefault="00000000">
          <w:pPr>
            <w:pStyle w:val="TOC1"/>
            <w:rPr>
              <w:sz w:val="22"/>
              <w:szCs w:val="22"/>
              <w:lang w:val="en-US" w:eastAsia="es-US"/>
            </w:rPr>
          </w:pPr>
          <w:hyperlink w:anchor="_Toc85816991" w:history="1">
            <w:r w:rsidR="00855D1D" w:rsidRPr="00AB655A">
              <w:rPr>
                <w:rStyle w:val="Hyperlink"/>
                <w:lang w:val="en-US"/>
              </w:rPr>
              <w:t>3.</w:t>
            </w:r>
            <w:r w:rsidR="00855D1D" w:rsidRPr="00AB655A">
              <w:rPr>
                <w:sz w:val="22"/>
                <w:szCs w:val="22"/>
                <w:lang w:val="en-US" w:eastAsia="es-US"/>
              </w:rPr>
              <w:tab/>
            </w:r>
            <w:r w:rsidR="00FB5E9E" w:rsidRPr="00AB655A">
              <w:rPr>
                <w:rStyle w:val="Hyperlink"/>
                <w:lang w:val="en-US"/>
              </w:rPr>
              <w:t>Institutionalizing gender: the different approaches</w:t>
            </w:r>
            <w:r w:rsidR="00855D1D" w:rsidRPr="00AB655A">
              <w:rPr>
                <w:webHidden/>
                <w:lang w:val="en-US"/>
              </w:rPr>
              <w:tab/>
            </w:r>
            <w:r w:rsidR="000D7150">
              <w:rPr>
                <w:webHidden/>
                <w:lang w:val="en-US"/>
              </w:rPr>
              <w:t>6</w:t>
            </w:r>
          </w:hyperlink>
        </w:p>
        <w:p w14:paraId="440D2EF1" w14:textId="0A7C6A5D" w:rsidR="00855D1D" w:rsidRPr="00AB655A" w:rsidRDefault="00000000">
          <w:pPr>
            <w:pStyle w:val="TOC1"/>
            <w:rPr>
              <w:sz w:val="22"/>
              <w:szCs w:val="22"/>
              <w:lang w:val="en-US" w:eastAsia="es-US"/>
            </w:rPr>
          </w:pPr>
          <w:hyperlink w:anchor="_Toc85816992" w:history="1">
            <w:r w:rsidR="00855D1D" w:rsidRPr="00AB655A">
              <w:rPr>
                <w:rStyle w:val="Hyperlink"/>
                <w:lang w:val="en-US"/>
              </w:rPr>
              <w:t>4.</w:t>
            </w:r>
            <w:r w:rsidR="00855D1D" w:rsidRPr="00AB655A">
              <w:rPr>
                <w:sz w:val="22"/>
                <w:szCs w:val="22"/>
                <w:lang w:val="en-US" w:eastAsia="es-US"/>
              </w:rPr>
              <w:tab/>
            </w:r>
            <w:r w:rsidR="00FB5E9E" w:rsidRPr="00AB655A">
              <w:rPr>
                <w:rStyle w:val="Hyperlink"/>
                <w:lang w:val="en-US"/>
              </w:rPr>
              <w:t>Specialized Gender Units: How d</w:t>
            </w:r>
            <w:r w:rsidR="000D7150">
              <w:rPr>
                <w:rStyle w:val="Hyperlink"/>
                <w:lang w:val="en-US"/>
              </w:rPr>
              <w:t>o</w:t>
            </w:r>
            <w:r w:rsidR="00FB5E9E" w:rsidRPr="00AB655A">
              <w:rPr>
                <w:rStyle w:val="Hyperlink"/>
                <w:lang w:val="en-US"/>
              </w:rPr>
              <w:t xml:space="preserve"> we define them</w:t>
            </w:r>
            <w:r w:rsidR="00855D1D" w:rsidRPr="00AB655A">
              <w:rPr>
                <w:rStyle w:val="Hyperlink"/>
                <w:lang w:val="en-US"/>
              </w:rPr>
              <w:t>?</w:t>
            </w:r>
            <w:r w:rsidR="00855D1D" w:rsidRPr="00AB655A">
              <w:rPr>
                <w:webHidden/>
                <w:lang w:val="en-US"/>
              </w:rPr>
              <w:tab/>
            </w:r>
            <w:r w:rsidR="00855D1D" w:rsidRPr="00AB655A">
              <w:rPr>
                <w:webHidden/>
                <w:lang w:val="en-US"/>
              </w:rPr>
              <w:fldChar w:fldCharType="begin"/>
            </w:r>
            <w:r w:rsidR="00855D1D" w:rsidRPr="00AB655A">
              <w:rPr>
                <w:webHidden/>
                <w:lang w:val="en-US"/>
              </w:rPr>
              <w:instrText xml:space="preserve"> PAGEREF _Toc85816992 \h </w:instrText>
            </w:r>
            <w:r w:rsidR="00855D1D" w:rsidRPr="00AB655A">
              <w:rPr>
                <w:webHidden/>
                <w:lang w:val="en-US"/>
              </w:rPr>
            </w:r>
            <w:r w:rsidR="00855D1D" w:rsidRPr="00AB655A">
              <w:rPr>
                <w:webHidden/>
                <w:lang w:val="en-US"/>
              </w:rPr>
              <w:fldChar w:fldCharType="separate"/>
            </w:r>
            <w:r w:rsidR="00855D1D" w:rsidRPr="00AB655A">
              <w:rPr>
                <w:webHidden/>
                <w:lang w:val="en-US"/>
              </w:rPr>
              <w:t>8</w:t>
            </w:r>
            <w:r w:rsidR="00855D1D" w:rsidRPr="00AB655A">
              <w:rPr>
                <w:webHidden/>
                <w:lang w:val="en-US"/>
              </w:rPr>
              <w:fldChar w:fldCharType="end"/>
            </w:r>
          </w:hyperlink>
        </w:p>
        <w:p w14:paraId="48CEBF4C" w14:textId="14129482" w:rsidR="00855D1D" w:rsidRPr="00AB655A" w:rsidRDefault="00000000">
          <w:pPr>
            <w:pStyle w:val="TOC1"/>
            <w:rPr>
              <w:sz w:val="22"/>
              <w:szCs w:val="22"/>
              <w:lang w:val="en-US" w:eastAsia="es-US"/>
            </w:rPr>
          </w:pPr>
          <w:hyperlink w:anchor="_Toc85816993" w:history="1">
            <w:r w:rsidR="00855D1D" w:rsidRPr="00AB655A">
              <w:rPr>
                <w:rStyle w:val="Hyperlink"/>
                <w:lang w:val="en-US"/>
              </w:rPr>
              <w:t>5.</w:t>
            </w:r>
            <w:r w:rsidR="00855D1D" w:rsidRPr="00AB655A">
              <w:rPr>
                <w:sz w:val="22"/>
                <w:szCs w:val="22"/>
                <w:lang w:val="en-US" w:eastAsia="es-US"/>
              </w:rPr>
              <w:tab/>
            </w:r>
            <w:r w:rsidR="00FB5E9E" w:rsidRPr="00AB655A">
              <w:rPr>
                <w:rStyle w:val="Hyperlink"/>
                <w:lang w:val="en-US"/>
              </w:rPr>
              <w:t>Aspects to consider when establishing a Specialized Gender Unit: conditions for the unit to operate properly</w:t>
            </w:r>
            <w:r w:rsidR="00855D1D" w:rsidRPr="00AB655A">
              <w:rPr>
                <w:webHidden/>
                <w:lang w:val="en-US"/>
              </w:rPr>
              <w:tab/>
            </w:r>
            <w:r w:rsidR="00855D1D" w:rsidRPr="00AB655A">
              <w:rPr>
                <w:webHidden/>
                <w:lang w:val="en-US"/>
              </w:rPr>
              <w:fldChar w:fldCharType="begin"/>
            </w:r>
            <w:r w:rsidR="00855D1D" w:rsidRPr="00AB655A">
              <w:rPr>
                <w:webHidden/>
                <w:lang w:val="en-US"/>
              </w:rPr>
              <w:instrText xml:space="preserve"> PAGEREF _Toc85816993 \h </w:instrText>
            </w:r>
            <w:r w:rsidR="00855D1D" w:rsidRPr="00AB655A">
              <w:rPr>
                <w:webHidden/>
                <w:lang w:val="en-US"/>
              </w:rPr>
            </w:r>
            <w:r w:rsidR="00855D1D" w:rsidRPr="00AB655A">
              <w:rPr>
                <w:webHidden/>
                <w:lang w:val="en-US"/>
              </w:rPr>
              <w:fldChar w:fldCharType="separate"/>
            </w:r>
            <w:r w:rsidR="00855D1D" w:rsidRPr="00AB655A">
              <w:rPr>
                <w:webHidden/>
                <w:lang w:val="en-US"/>
              </w:rPr>
              <w:t>11</w:t>
            </w:r>
            <w:r w:rsidR="00855D1D" w:rsidRPr="00AB655A">
              <w:rPr>
                <w:webHidden/>
                <w:lang w:val="en-US"/>
              </w:rPr>
              <w:fldChar w:fldCharType="end"/>
            </w:r>
          </w:hyperlink>
        </w:p>
        <w:p w14:paraId="3E8DA817" w14:textId="4FF18261" w:rsidR="00855D1D" w:rsidRPr="00AB655A" w:rsidRDefault="00000000">
          <w:pPr>
            <w:pStyle w:val="TOC1"/>
            <w:rPr>
              <w:sz w:val="22"/>
              <w:szCs w:val="22"/>
              <w:lang w:val="en-US" w:eastAsia="es-US"/>
            </w:rPr>
          </w:pPr>
          <w:hyperlink w:anchor="_Toc85816994" w:history="1">
            <w:r w:rsidR="00855D1D" w:rsidRPr="00AB655A">
              <w:rPr>
                <w:rStyle w:val="Hyperlink"/>
                <w:lang w:val="en-US"/>
              </w:rPr>
              <w:t>6.</w:t>
            </w:r>
            <w:r w:rsidR="00855D1D" w:rsidRPr="00AB655A">
              <w:rPr>
                <w:sz w:val="22"/>
                <w:szCs w:val="22"/>
                <w:lang w:val="en-US" w:eastAsia="es-US"/>
              </w:rPr>
              <w:tab/>
            </w:r>
            <w:r w:rsidR="00FB5E9E" w:rsidRPr="00AB655A">
              <w:rPr>
                <w:rStyle w:val="Hyperlink"/>
                <w:lang w:val="en-US"/>
              </w:rPr>
              <w:t>What are the functions of a Specialized Gender Unit</w:t>
            </w:r>
            <w:r w:rsidR="00855D1D" w:rsidRPr="00AB655A">
              <w:rPr>
                <w:rStyle w:val="Hyperlink"/>
                <w:lang w:val="en-US"/>
              </w:rPr>
              <w:t>?</w:t>
            </w:r>
            <w:r w:rsidR="00855D1D" w:rsidRPr="00AB655A">
              <w:rPr>
                <w:webHidden/>
                <w:lang w:val="en-US"/>
              </w:rPr>
              <w:tab/>
            </w:r>
            <w:r w:rsidR="00855D1D" w:rsidRPr="00AB655A">
              <w:rPr>
                <w:webHidden/>
                <w:lang w:val="en-US"/>
              </w:rPr>
              <w:fldChar w:fldCharType="begin"/>
            </w:r>
            <w:r w:rsidR="00855D1D" w:rsidRPr="00AB655A">
              <w:rPr>
                <w:webHidden/>
                <w:lang w:val="en-US"/>
              </w:rPr>
              <w:instrText xml:space="preserve"> PAGEREF _Toc85816994 \h </w:instrText>
            </w:r>
            <w:r w:rsidR="00855D1D" w:rsidRPr="00AB655A">
              <w:rPr>
                <w:webHidden/>
                <w:lang w:val="en-US"/>
              </w:rPr>
            </w:r>
            <w:r w:rsidR="00855D1D" w:rsidRPr="00AB655A">
              <w:rPr>
                <w:webHidden/>
                <w:lang w:val="en-US"/>
              </w:rPr>
              <w:fldChar w:fldCharType="separate"/>
            </w:r>
            <w:r w:rsidR="00855D1D" w:rsidRPr="00AB655A">
              <w:rPr>
                <w:webHidden/>
                <w:lang w:val="en-US"/>
              </w:rPr>
              <w:t>14</w:t>
            </w:r>
            <w:r w:rsidR="00855D1D" w:rsidRPr="00AB655A">
              <w:rPr>
                <w:webHidden/>
                <w:lang w:val="en-US"/>
              </w:rPr>
              <w:fldChar w:fldCharType="end"/>
            </w:r>
          </w:hyperlink>
        </w:p>
        <w:p w14:paraId="5B766042" w14:textId="770FF193" w:rsidR="00855D1D" w:rsidRPr="00AB655A" w:rsidRDefault="00000000">
          <w:pPr>
            <w:pStyle w:val="TOC1"/>
            <w:rPr>
              <w:sz w:val="22"/>
              <w:szCs w:val="22"/>
              <w:lang w:val="en-US" w:eastAsia="es-US"/>
            </w:rPr>
          </w:pPr>
          <w:hyperlink w:anchor="_Toc85816995" w:history="1">
            <w:r w:rsidR="00855D1D" w:rsidRPr="00AB655A">
              <w:rPr>
                <w:rStyle w:val="Hyperlink"/>
                <w:lang w:val="en-US"/>
              </w:rPr>
              <w:t>7.</w:t>
            </w:r>
            <w:r w:rsidR="00855D1D" w:rsidRPr="00AB655A">
              <w:rPr>
                <w:sz w:val="22"/>
                <w:szCs w:val="22"/>
                <w:lang w:val="en-US" w:eastAsia="es-US"/>
              </w:rPr>
              <w:tab/>
            </w:r>
            <w:r w:rsidR="00FB5E9E" w:rsidRPr="00AB655A">
              <w:rPr>
                <w:rStyle w:val="Hyperlink"/>
                <w:lang w:val="en-US"/>
              </w:rPr>
              <w:t>Lines of Action</w:t>
            </w:r>
            <w:r w:rsidR="00855D1D" w:rsidRPr="00AB655A">
              <w:rPr>
                <w:webHidden/>
                <w:lang w:val="en-US"/>
              </w:rPr>
              <w:tab/>
            </w:r>
            <w:r w:rsidR="00855D1D" w:rsidRPr="00AB655A">
              <w:rPr>
                <w:webHidden/>
                <w:lang w:val="en-US"/>
              </w:rPr>
              <w:fldChar w:fldCharType="begin"/>
            </w:r>
            <w:r w:rsidR="00855D1D" w:rsidRPr="00AB655A">
              <w:rPr>
                <w:webHidden/>
                <w:lang w:val="en-US"/>
              </w:rPr>
              <w:instrText xml:space="preserve"> PAGEREF _Toc85816995 \h </w:instrText>
            </w:r>
            <w:r w:rsidR="00855D1D" w:rsidRPr="00AB655A">
              <w:rPr>
                <w:webHidden/>
                <w:lang w:val="en-US"/>
              </w:rPr>
            </w:r>
            <w:r w:rsidR="00855D1D" w:rsidRPr="00AB655A">
              <w:rPr>
                <w:webHidden/>
                <w:lang w:val="en-US"/>
              </w:rPr>
              <w:fldChar w:fldCharType="separate"/>
            </w:r>
            <w:r w:rsidR="00855D1D" w:rsidRPr="00AB655A">
              <w:rPr>
                <w:webHidden/>
                <w:lang w:val="en-US"/>
              </w:rPr>
              <w:t>15</w:t>
            </w:r>
            <w:r w:rsidR="00855D1D" w:rsidRPr="00AB655A">
              <w:rPr>
                <w:webHidden/>
                <w:lang w:val="en-US"/>
              </w:rPr>
              <w:fldChar w:fldCharType="end"/>
            </w:r>
          </w:hyperlink>
        </w:p>
        <w:p w14:paraId="3CD0B9FF" w14:textId="43A9A793" w:rsidR="00855D1D" w:rsidRPr="00AB655A" w:rsidRDefault="00000000">
          <w:pPr>
            <w:pStyle w:val="TOC1"/>
            <w:rPr>
              <w:sz w:val="22"/>
              <w:szCs w:val="22"/>
              <w:lang w:val="en-US" w:eastAsia="es-US"/>
            </w:rPr>
          </w:pPr>
          <w:hyperlink w:anchor="_Toc85817001" w:history="1">
            <w:r w:rsidR="00855D1D" w:rsidRPr="00AB655A">
              <w:rPr>
                <w:rStyle w:val="Hyperlink"/>
                <w:rFonts w:ascii="Tahoma" w:hAnsi="Tahoma" w:cs="Tahoma"/>
                <w:lang w:val="en-US"/>
              </w:rPr>
              <w:t>8.</w:t>
            </w:r>
            <w:r w:rsidR="00855D1D" w:rsidRPr="00AB655A">
              <w:rPr>
                <w:sz w:val="22"/>
                <w:szCs w:val="22"/>
                <w:lang w:val="en-US" w:eastAsia="es-US"/>
              </w:rPr>
              <w:tab/>
            </w:r>
            <w:r w:rsidR="00FB5E9E" w:rsidRPr="00AB655A">
              <w:rPr>
                <w:rStyle w:val="Hyperlink"/>
                <w:lang w:val="en-US"/>
              </w:rPr>
              <w:t xml:space="preserve">Strategic objectives </w:t>
            </w:r>
            <w:r w:rsidR="00DF78FE">
              <w:rPr>
                <w:rStyle w:val="Hyperlink"/>
                <w:lang w:val="en-US"/>
              </w:rPr>
              <w:t>for every</w:t>
            </w:r>
            <w:r w:rsidR="00DA112C">
              <w:rPr>
                <w:rStyle w:val="Hyperlink"/>
                <w:lang w:val="en-US"/>
              </w:rPr>
              <w:t xml:space="preserve"> l</w:t>
            </w:r>
            <w:r w:rsidR="00FB5E9E" w:rsidRPr="00AB655A">
              <w:rPr>
                <w:rStyle w:val="Hyperlink"/>
                <w:lang w:val="en-US"/>
              </w:rPr>
              <w:t>ine of action</w:t>
            </w:r>
            <w:r w:rsidR="00855D1D" w:rsidRPr="00AB655A">
              <w:rPr>
                <w:webHidden/>
                <w:lang w:val="en-US"/>
              </w:rPr>
              <w:tab/>
            </w:r>
            <w:r w:rsidR="00855D1D" w:rsidRPr="00AB655A">
              <w:rPr>
                <w:webHidden/>
                <w:lang w:val="en-US"/>
              </w:rPr>
              <w:fldChar w:fldCharType="begin"/>
            </w:r>
            <w:r w:rsidR="00855D1D" w:rsidRPr="00AB655A">
              <w:rPr>
                <w:webHidden/>
                <w:lang w:val="en-US"/>
              </w:rPr>
              <w:instrText xml:space="preserve"> PAGEREF _Toc85817001 \h </w:instrText>
            </w:r>
            <w:r w:rsidR="00855D1D" w:rsidRPr="00AB655A">
              <w:rPr>
                <w:webHidden/>
                <w:lang w:val="en-US"/>
              </w:rPr>
            </w:r>
            <w:r w:rsidR="00855D1D" w:rsidRPr="00AB655A">
              <w:rPr>
                <w:webHidden/>
                <w:lang w:val="en-US"/>
              </w:rPr>
              <w:fldChar w:fldCharType="separate"/>
            </w:r>
            <w:r w:rsidR="00855D1D" w:rsidRPr="00AB655A">
              <w:rPr>
                <w:webHidden/>
                <w:lang w:val="en-US"/>
              </w:rPr>
              <w:t>19</w:t>
            </w:r>
            <w:r w:rsidR="00855D1D" w:rsidRPr="00AB655A">
              <w:rPr>
                <w:webHidden/>
                <w:lang w:val="en-US"/>
              </w:rPr>
              <w:fldChar w:fldCharType="end"/>
            </w:r>
          </w:hyperlink>
        </w:p>
        <w:p w14:paraId="2E7C4421" w14:textId="00A8EBF0" w:rsidR="00855D1D" w:rsidRPr="00AB655A" w:rsidRDefault="00000000">
          <w:pPr>
            <w:pStyle w:val="TOC1"/>
            <w:rPr>
              <w:sz w:val="22"/>
              <w:szCs w:val="22"/>
              <w:lang w:val="en-US" w:eastAsia="es-US"/>
            </w:rPr>
          </w:pPr>
          <w:hyperlink w:anchor="_Toc85817002" w:history="1">
            <w:r w:rsidR="00855D1D" w:rsidRPr="00AB655A">
              <w:rPr>
                <w:rStyle w:val="Hyperlink"/>
                <w:lang w:val="en-US"/>
              </w:rPr>
              <w:t>9.</w:t>
            </w:r>
            <w:r w:rsidR="00855D1D" w:rsidRPr="00AB655A">
              <w:rPr>
                <w:sz w:val="22"/>
                <w:szCs w:val="22"/>
                <w:lang w:val="en-US" w:eastAsia="es-US"/>
              </w:rPr>
              <w:tab/>
            </w:r>
            <w:r w:rsidR="00FB5E9E" w:rsidRPr="00AB655A">
              <w:rPr>
                <w:rStyle w:val="Hyperlink"/>
                <w:lang w:val="en-US"/>
              </w:rPr>
              <w:t>Plan of Action of a Specialized Gender Unit: a guide</w:t>
            </w:r>
            <w:r w:rsidR="00855D1D" w:rsidRPr="00AB655A">
              <w:rPr>
                <w:webHidden/>
                <w:lang w:val="en-US"/>
              </w:rPr>
              <w:tab/>
            </w:r>
            <w:r w:rsidR="00855D1D" w:rsidRPr="00AB655A">
              <w:rPr>
                <w:webHidden/>
                <w:lang w:val="en-US"/>
              </w:rPr>
              <w:fldChar w:fldCharType="begin"/>
            </w:r>
            <w:r w:rsidR="00855D1D" w:rsidRPr="00AB655A">
              <w:rPr>
                <w:webHidden/>
                <w:lang w:val="en-US"/>
              </w:rPr>
              <w:instrText xml:space="preserve"> PAGEREF _Toc85817002 \h </w:instrText>
            </w:r>
            <w:r w:rsidR="00855D1D" w:rsidRPr="00AB655A">
              <w:rPr>
                <w:webHidden/>
                <w:lang w:val="en-US"/>
              </w:rPr>
            </w:r>
            <w:r w:rsidR="00855D1D" w:rsidRPr="00AB655A">
              <w:rPr>
                <w:webHidden/>
                <w:lang w:val="en-US"/>
              </w:rPr>
              <w:fldChar w:fldCharType="separate"/>
            </w:r>
            <w:r w:rsidR="00855D1D" w:rsidRPr="00AB655A">
              <w:rPr>
                <w:webHidden/>
                <w:lang w:val="en-US"/>
              </w:rPr>
              <w:t>21</w:t>
            </w:r>
            <w:r w:rsidR="00855D1D" w:rsidRPr="00AB655A">
              <w:rPr>
                <w:webHidden/>
                <w:lang w:val="en-US"/>
              </w:rPr>
              <w:fldChar w:fldCharType="end"/>
            </w:r>
          </w:hyperlink>
        </w:p>
        <w:p w14:paraId="649A962D" w14:textId="704E6D51" w:rsidR="0066428D" w:rsidRPr="00AB655A" w:rsidRDefault="0066428D">
          <w:pPr>
            <w:rPr>
              <w:lang w:val="en-US"/>
            </w:rPr>
          </w:pPr>
          <w:r w:rsidRPr="00AB655A">
            <w:rPr>
              <w:b/>
              <w:bCs/>
              <w:lang w:val="en-US"/>
            </w:rPr>
            <w:fldChar w:fldCharType="end"/>
          </w:r>
        </w:p>
      </w:sdtContent>
    </w:sdt>
    <w:p w14:paraId="6C6E2E46" w14:textId="77777777" w:rsidR="004A4F34" w:rsidRPr="00AB655A" w:rsidRDefault="004A4F34">
      <w:pPr>
        <w:spacing w:after="160" w:line="259" w:lineRule="auto"/>
        <w:rPr>
          <w:rFonts w:ascii="Tahoma" w:hAnsi="Tahoma" w:cs="Tahoma"/>
          <w:sz w:val="22"/>
          <w:szCs w:val="22"/>
          <w:lang w:val="en-US"/>
        </w:rPr>
      </w:pPr>
    </w:p>
    <w:p w14:paraId="31347BA0" w14:textId="79D0C090" w:rsidR="00AF14BB" w:rsidRPr="00C91D65" w:rsidRDefault="2425A842" w:rsidP="2425A842">
      <w:pPr>
        <w:spacing w:after="160" w:line="259" w:lineRule="auto"/>
        <w:rPr>
          <w:rFonts w:ascii="Tahoma" w:hAnsi="Tahoma" w:cs="Tahoma"/>
          <w:lang w:val="en-US"/>
        </w:rPr>
      </w:pPr>
      <w:r w:rsidRPr="00C91D65">
        <w:rPr>
          <w:rFonts w:ascii="Tahoma" w:hAnsi="Tahoma" w:cs="Tahoma"/>
          <w:lang w:val="en-US"/>
        </w:rPr>
        <w:t xml:space="preserve">This Manual was produced jointly with the Gender Units </w:t>
      </w:r>
      <w:r w:rsidR="00163E7D" w:rsidRPr="00C91D65">
        <w:rPr>
          <w:rFonts w:ascii="Tahoma" w:hAnsi="Tahoma" w:cs="Tahoma"/>
          <w:lang w:val="en-US"/>
        </w:rPr>
        <w:t xml:space="preserve">or </w:t>
      </w:r>
      <w:r w:rsidRPr="00C91D65">
        <w:rPr>
          <w:rFonts w:ascii="Tahoma" w:hAnsi="Tahoma" w:cs="Tahoma"/>
          <w:lang w:val="en-US"/>
        </w:rPr>
        <w:t>areas of the Ministries of Labor of the Americas, through Hemispheric Dialogues of the OAS Inter-American Network for Labor Administration (RIAL) held in 2021. It is a tangible product of the collaboration and solidarity between the gender focal points of said Ministries.</w:t>
      </w:r>
    </w:p>
    <w:p w14:paraId="653DEC63" w14:textId="306A4AAE" w:rsidR="00AF14BB" w:rsidRPr="00C91D65" w:rsidRDefault="2425A842" w:rsidP="2425A842">
      <w:pPr>
        <w:spacing w:after="160" w:line="259" w:lineRule="auto"/>
        <w:rPr>
          <w:rFonts w:ascii="Tahoma" w:hAnsi="Tahoma" w:cs="Tahoma"/>
          <w:lang w:val="en-US"/>
        </w:rPr>
      </w:pPr>
      <w:r w:rsidRPr="00C91D65">
        <w:rPr>
          <w:rFonts w:ascii="Tahoma" w:hAnsi="Tahoma" w:cs="Tahoma"/>
          <w:lang w:val="en-US"/>
        </w:rPr>
        <w:t>The first version of the Manual was written by Lylian Mires, Senior Consultant on the subject, with contributions from María Claudia Camacho,</w:t>
      </w:r>
      <w:r w:rsidR="001E7DA7" w:rsidRPr="00C91D65">
        <w:rPr>
          <w:rFonts w:ascii="Tahoma" w:hAnsi="Tahoma" w:cs="Tahoma"/>
          <w:lang w:val="en-US"/>
        </w:rPr>
        <w:t xml:space="preserve"> Chief</w:t>
      </w:r>
      <w:r w:rsidRPr="00C91D65">
        <w:rPr>
          <w:rFonts w:ascii="Tahoma" w:hAnsi="Tahoma" w:cs="Tahoma"/>
          <w:lang w:val="en-US"/>
        </w:rPr>
        <w:t xml:space="preserve"> of the Labor and Employment Section of the Department of Human Development, Education and Employment, SEDI</w:t>
      </w:r>
      <w:r w:rsidR="005A2D53" w:rsidRPr="00C91D65">
        <w:rPr>
          <w:rFonts w:ascii="Tahoma" w:hAnsi="Tahoma" w:cs="Tahoma"/>
          <w:lang w:val="en-US"/>
        </w:rPr>
        <w:t xml:space="preserve"> -who coordinated the process-</w:t>
      </w:r>
      <w:r w:rsidRPr="00C91D65">
        <w:rPr>
          <w:rFonts w:ascii="Tahoma" w:hAnsi="Tahoma" w:cs="Tahoma"/>
          <w:lang w:val="en-US"/>
        </w:rPr>
        <w:t>, and Beatriz Piñeres, Specialist of the Inter-American Commission of Women (CIM) of the OAS. Guillermo Calzada, Program Officer of the RIAL, collaborated during all the writing stages.</w:t>
      </w:r>
    </w:p>
    <w:p w14:paraId="54976CFD" w14:textId="1DCDE43A" w:rsidR="00AF14BB" w:rsidRPr="00C91D65" w:rsidRDefault="2425A842" w:rsidP="2425A842">
      <w:pPr>
        <w:spacing w:after="160" w:line="259" w:lineRule="auto"/>
        <w:rPr>
          <w:rFonts w:ascii="Tahoma" w:hAnsi="Tahoma" w:cs="Tahoma"/>
          <w:lang w:val="en-US"/>
        </w:rPr>
      </w:pPr>
      <w:r w:rsidRPr="00C91D65">
        <w:rPr>
          <w:rFonts w:ascii="Tahoma" w:hAnsi="Tahoma" w:cs="Tahoma"/>
          <w:lang w:val="en-US"/>
        </w:rPr>
        <w:t>A special thanks to the directors and staff of the</w:t>
      </w:r>
      <w:r w:rsidR="00003DE0" w:rsidRPr="00C91D65">
        <w:rPr>
          <w:rFonts w:ascii="Tahoma" w:hAnsi="Tahoma" w:cs="Tahoma"/>
          <w:lang w:val="en-US"/>
        </w:rPr>
        <w:t xml:space="preserve"> Gender</w:t>
      </w:r>
      <w:r w:rsidR="00333D04" w:rsidRPr="00C91D65">
        <w:rPr>
          <w:rFonts w:ascii="Tahoma" w:hAnsi="Tahoma" w:cs="Tahoma"/>
          <w:lang w:val="en-US"/>
        </w:rPr>
        <w:t xml:space="preserve"> </w:t>
      </w:r>
      <w:r w:rsidRPr="00C91D65">
        <w:rPr>
          <w:rFonts w:ascii="Tahoma" w:hAnsi="Tahoma" w:cs="Tahoma"/>
          <w:lang w:val="en-US"/>
        </w:rPr>
        <w:t xml:space="preserve">Units and areas for their valuable comments, made both in writing and during the Dialogues, which allowed us to improve and finalize this Manual. We hope that it will be a useful and effective tool to support the creation and strengthen the operation of the </w:t>
      </w:r>
      <w:r w:rsidR="00003DE0" w:rsidRPr="00C91D65">
        <w:rPr>
          <w:rFonts w:ascii="Tahoma" w:hAnsi="Tahoma" w:cs="Tahoma"/>
          <w:lang w:val="en-US"/>
        </w:rPr>
        <w:t xml:space="preserve">Gender </w:t>
      </w:r>
      <w:r w:rsidRPr="00C91D65">
        <w:rPr>
          <w:rFonts w:ascii="Tahoma" w:hAnsi="Tahoma" w:cs="Tahoma"/>
          <w:lang w:val="en-US"/>
        </w:rPr>
        <w:t xml:space="preserve">Units and areas in the Ministries of Labor of the Americas </w:t>
      </w:r>
      <w:proofErr w:type="gramStart"/>
      <w:r w:rsidRPr="00C91D65">
        <w:rPr>
          <w:rFonts w:ascii="Tahoma" w:hAnsi="Tahoma" w:cs="Tahoma"/>
          <w:lang w:val="en-US"/>
        </w:rPr>
        <w:t>in order to</w:t>
      </w:r>
      <w:proofErr w:type="gramEnd"/>
      <w:r w:rsidRPr="00C91D65">
        <w:rPr>
          <w:rFonts w:ascii="Tahoma" w:hAnsi="Tahoma" w:cs="Tahoma"/>
          <w:lang w:val="en-US"/>
        </w:rPr>
        <w:t xml:space="preserve"> achieve gender equality in the world of work.</w:t>
      </w:r>
      <w:r w:rsidR="0B4ED4B3" w:rsidRPr="00C91D65">
        <w:rPr>
          <w:rFonts w:ascii="Tahoma" w:hAnsi="Tahoma" w:cs="Tahoma"/>
          <w:lang w:val="en-US"/>
        </w:rPr>
        <w:t xml:space="preserve"> </w:t>
      </w:r>
    </w:p>
    <w:p w14:paraId="38CA625C" w14:textId="180D62E3" w:rsidR="0066428D" w:rsidRPr="00ED097B" w:rsidRDefault="0066428D" w:rsidP="00AF14BB">
      <w:pPr>
        <w:tabs>
          <w:tab w:val="left" w:pos="5400"/>
        </w:tabs>
        <w:rPr>
          <w:rFonts w:ascii="Tahoma" w:hAnsi="Tahoma" w:cs="Tahoma"/>
          <w:sz w:val="22"/>
          <w:szCs w:val="22"/>
          <w:lang w:val="en-US"/>
        </w:rPr>
      </w:pPr>
      <w:r w:rsidRPr="00ED097B">
        <w:rPr>
          <w:rFonts w:ascii="Tahoma" w:hAnsi="Tahoma" w:cs="Tahoma"/>
          <w:sz w:val="22"/>
          <w:szCs w:val="22"/>
          <w:lang w:val="en-US"/>
        </w:rPr>
        <w:br w:type="page"/>
      </w:r>
      <w:r w:rsidR="00AF14BB" w:rsidRPr="00ED097B">
        <w:rPr>
          <w:rFonts w:ascii="Tahoma" w:hAnsi="Tahoma" w:cs="Tahoma"/>
          <w:sz w:val="22"/>
          <w:szCs w:val="22"/>
          <w:lang w:val="en-US"/>
        </w:rPr>
        <w:lastRenderedPageBreak/>
        <w:tab/>
      </w:r>
    </w:p>
    <w:p w14:paraId="4BC06BED" w14:textId="3AAFFD6A" w:rsidR="007A3484" w:rsidRPr="00AB655A" w:rsidRDefault="2F8E9A22" w:rsidP="00EB2D0E">
      <w:pPr>
        <w:pStyle w:val="Heading1"/>
        <w:numPr>
          <w:ilvl w:val="0"/>
          <w:numId w:val="3"/>
        </w:numPr>
        <w:rPr>
          <w:lang w:val="en-US"/>
        </w:rPr>
      </w:pPr>
      <w:r w:rsidRPr="2425A842">
        <w:rPr>
          <w:lang w:val="en-US"/>
        </w:rPr>
        <w:t>INTRODUCTION</w:t>
      </w:r>
    </w:p>
    <w:p w14:paraId="20DDFFFA" w14:textId="20C56DAA" w:rsidR="00E07B31" w:rsidRPr="00AB655A" w:rsidRDefault="00E07B31" w:rsidP="00870881">
      <w:pPr>
        <w:spacing w:line="288" w:lineRule="auto"/>
        <w:jc w:val="both"/>
        <w:rPr>
          <w:rFonts w:ascii="Tahoma" w:hAnsi="Tahoma" w:cs="Tahoma"/>
          <w:sz w:val="22"/>
          <w:szCs w:val="22"/>
          <w:lang w:val="en-US"/>
        </w:rPr>
      </w:pPr>
    </w:p>
    <w:p w14:paraId="2BFBB2EA" w14:textId="3CFCDCC8" w:rsidR="00CD0EA6" w:rsidRPr="00AB655A" w:rsidRDefault="00CD0EA6" w:rsidP="00870881">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Executive Secretariat for Integral Development of the OAS </w:t>
      </w:r>
      <w:r w:rsidR="00B951F4" w:rsidRPr="00AB655A">
        <w:rPr>
          <w:rFonts w:ascii="Tahoma" w:hAnsi="Tahoma" w:cs="Tahoma"/>
          <w:sz w:val="22"/>
          <w:szCs w:val="22"/>
          <w:lang w:val="en-US"/>
        </w:rPr>
        <w:t>is pleased to present this Manual for Gender Units</w:t>
      </w:r>
      <w:r w:rsidR="003426C9">
        <w:rPr>
          <w:rFonts w:ascii="Tahoma" w:hAnsi="Tahoma" w:cs="Tahoma"/>
          <w:sz w:val="22"/>
          <w:szCs w:val="22"/>
          <w:lang w:val="en-US"/>
        </w:rPr>
        <w:t xml:space="preserve">, which </w:t>
      </w:r>
      <w:r w:rsidR="00346980" w:rsidRPr="00AB655A">
        <w:rPr>
          <w:rFonts w:ascii="Tahoma" w:hAnsi="Tahoma" w:cs="Tahoma"/>
          <w:sz w:val="22"/>
          <w:szCs w:val="22"/>
          <w:lang w:val="en-US"/>
        </w:rPr>
        <w:t>is</w:t>
      </w:r>
      <w:r w:rsidR="00291ED8" w:rsidRPr="00AB655A">
        <w:rPr>
          <w:rFonts w:ascii="Tahoma" w:hAnsi="Tahoma" w:cs="Tahoma"/>
          <w:sz w:val="22"/>
          <w:szCs w:val="22"/>
          <w:lang w:val="en-US"/>
        </w:rPr>
        <w:t xml:space="preserve"> </w:t>
      </w:r>
      <w:r w:rsidR="00346980" w:rsidRPr="00AB655A">
        <w:rPr>
          <w:rFonts w:ascii="Tahoma" w:hAnsi="Tahoma" w:cs="Tahoma"/>
          <w:sz w:val="22"/>
          <w:szCs w:val="22"/>
          <w:lang w:val="en-US"/>
        </w:rPr>
        <w:t>part of</w:t>
      </w:r>
      <w:r w:rsidR="00291ED8" w:rsidRPr="00AB655A">
        <w:rPr>
          <w:rFonts w:ascii="Tahoma" w:hAnsi="Tahoma" w:cs="Tahoma"/>
          <w:sz w:val="22"/>
          <w:szCs w:val="22"/>
          <w:lang w:val="en-US"/>
        </w:rPr>
        <w:t xml:space="preserve"> </w:t>
      </w:r>
      <w:r w:rsidR="003426C9">
        <w:rPr>
          <w:rFonts w:ascii="Tahoma" w:hAnsi="Tahoma" w:cs="Tahoma"/>
          <w:sz w:val="22"/>
          <w:szCs w:val="22"/>
          <w:lang w:val="en-US"/>
        </w:rPr>
        <w:t>a</w:t>
      </w:r>
      <w:r w:rsidR="00B951F4" w:rsidRPr="00AB655A">
        <w:rPr>
          <w:rFonts w:ascii="Tahoma" w:hAnsi="Tahoma" w:cs="Tahoma"/>
          <w:sz w:val="22"/>
          <w:szCs w:val="22"/>
          <w:lang w:val="en-US"/>
        </w:rPr>
        <w:t xml:space="preserve"> long journey to support the institutionalization of gender in the Ministries of Labor of the Americas.</w:t>
      </w:r>
    </w:p>
    <w:p w14:paraId="4EB7FE27" w14:textId="227067E5" w:rsidR="00523C22" w:rsidRPr="00AB655A" w:rsidRDefault="2159B914" w:rsidP="00870881">
      <w:pPr>
        <w:spacing w:line="288" w:lineRule="auto"/>
        <w:jc w:val="both"/>
        <w:rPr>
          <w:rFonts w:ascii="Tahoma" w:hAnsi="Tahoma" w:cs="Tahoma"/>
          <w:b/>
          <w:bCs/>
          <w:sz w:val="22"/>
          <w:szCs w:val="22"/>
          <w:lang w:val="en-US"/>
        </w:rPr>
      </w:pPr>
      <w:r w:rsidRPr="2425A842">
        <w:rPr>
          <w:rFonts w:ascii="Tahoma" w:hAnsi="Tahoma" w:cs="Tahoma"/>
          <w:b/>
          <w:bCs/>
          <w:sz w:val="22"/>
          <w:szCs w:val="22"/>
          <w:lang w:val="en-US"/>
        </w:rPr>
        <w:t>B</w:t>
      </w:r>
      <w:r w:rsidRPr="2425A842">
        <w:rPr>
          <w:rFonts w:ascii="Tahoma" w:hAnsi="Tahoma" w:cs="Tahoma"/>
          <w:b/>
          <w:bCs/>
          <w:sz w:val="22"/>
          <w:szCs w:val="22"/>
          <w:lang w:val="en-US"/>
        </w:rPr>
        <w:t>ackground</w:t>
      </w:r>
    </w:p>
    <w:p w14:paraId="0D9F59EF" w14:textId="628F8449" w:rsidR="00B951F4" w:rsidRPr="00AB655A" w:rsidRDefault="0849249D" w:rsidP="00870881">
      <w:pPr>
        <w:spacing w:line="288" w:lineRule="auto"/>
        <w:jc w:val="both"/>
        <w:rPr>
          <w:rFonts w:ascii="Tahoma" w:hAnsi="Tahoma" w:cs="Tahoma"/>
          <w:sz w:val="22"/>
          <w:szCs w:val="22"/>
          <w:lang w:val="en-US"/>
        </w:rPr>
      </w:pPr>
      <w:r w:rsidRPr="2425A842">
        <w:rPr>
          <w:rFonts w:ascii="Tahoma" w:hAnsi="Tahoma" w:cs="Tahoma"/>
          <w:sz w:val="22"/>
          <w:szCs w:val="22"/>
          <w:lang w:val="en-US"/>
        </w:rPr>
        <w:t>Since the XII Inter-American Conference of Ministers of Labor (IACML)</w:t>
      </w:r>
      <w:r w:rsidR="1026FCA5" w:rsidRPr="2425A842">
        <w:rPr>
          <w:rFonts w:ascii="Tahoma" w:hAnsi="Tahoma" w:cs="Tahoma"/>
          <w:sz w:val="22"/>
          <w:szCs w:val="22"/>
          <w:lang w:val="en-US"/>
        </w:rPr>
        <w:t xml:space="preserve"> held in 2001, the Ministers of Labor of the Americas have assumed a growing commitment to mainstreaming and institutionalizing gender within the operations, policies, and programs of </w:t>
      </w:r>
      <w:r w:rsidR="783FEF6D" w:rsidRPr="2425A842">
        <w:rPr>
          <w:rFonts w:ascii="Tahoma" w:hAnsi="Tahoma" w:cs="Tahoma"/>
          <w:sz w:val="22"/>
          <w:szCs w:val="22"/>
          <w:lang w:val="en-US"/>
        </w:rPr>
        <w:t>their Ministries</w:t>
      </w:r>
      <w:r w:rsidR="64A20393" w:rsidRPr="2425A842">
        <w:rPr>
          <w:rFonts w:ascii="Tahoma" w:hAnsi="Tahoma" w:cs="Tahoma"/>
          <w:sz w:val="22"/>
          <w:szCs w:val="22"/>
          <w:lang w:val="en-US"/>
        </w:rPr>
        <w:t xml:space="preserve"> to achieve gender equality in the labor market</w:t>
      </w:r>
      <w:r w:rsidR="1026FCA5" w:rsidRPr="2425A842">
        <w:rPr>
          <w:rFonts w:ascii="Tahoma" w:hAnsi="Tahoma" w:cs="Tahoma"/>
          <w:sz w:val="22"/>
          <w:szCs w:val="22"/>
          <w:lang w:val="en-US"/>
        </w:rPr>
        <w:t>. T</w:t>
      </w:r>
      <w:r w:rsidR="276EA1AB" w:rsidRPr="2425A842">
        <w:rPr>
          <w:rFonts w:ascii="Tahoma" w:hAnsi="Tahoma" w:cs="Tahoma"/>
          <w:sz w:val="22"/>
          <w:szCs w:val="22"/>
          <w:lang w:val="en-US"/>
        </w:rPr>
        <w:t xml:space="preserve">he XV IACML of the OAS (2007) </w:t>
      </w:r>
      <w:r w:rsidR="64A20393" w:rsidRPr="2425A842">
        <w:rPr>
          <w:rFonts w:ascii="Tahoma" w:hAnsi="Tahoma" w:cs="Tahoma"/>
          <w:sz w:val="22"/>
          <w:szCs w:val="22"/>
          <w:lang w:val="en-US"/>
        </w:rPr>
        <w:t xml:space="preserve">consolidated these efforts </w:t>
      </w:r>
      <w:r w:rsidR="276EA1AB" w:rsidRPr="2425A842">
        <w:rPr>
          <w:rFonts w:ascii="Tahoma" w:hAnsi="Tahoma" w:cs="Tahoma"/>
          <w:sz w:val="22"/>
          <w:szCs w:val="22"/>
          <w:lang w:val="en-US"/>
        </w:rPr>
        <w:t>through the approval of a set of stra</w:t>
      </w:r>
      <w:r w:rsidR="3CBEA4C3" w:rsidRPr="2425A842">
        <w:rPr>
          <w:rFonts w:ascii="Tahoma" w:hAnsi="Tahoma" w:cs="Tahoma"/>
          <w:sz w:val="22"/>
          <w:szCs w:val="22"/>
          <w:lang w:val="en-US"/>
        </w:rPr>
        <w:t>tegic guidelines to move toward</w:t>
      </w:r>
      <w:r w:rsidR="276EA1AB" w:rsidRPr="2425A842">
        <w:rPr>
          <w:rFonts w:ascii="Tahoma" w:hAnsi="Tahoma" w:cs="Tahoma"/>
          <w:sz w:val="22"/>
          <w:szCs w:val="22"/>
          <w:lang w:val="en-US"/>
        </w:rPr>
        <w:t xml:space="preserve"> gender equality </w:t>
      </w:r>
      <w:r w:rsidR="00E32002">
        <w:rPr>
          <w:rFonts w:ascii="Tahoma" w:hAnsi="Tahoma" w:cs="Tahoma"/>
          <w:sz w:val="22"/>
          <w:szCs w:val="22"/>
          <w:lang w:val="en-US"/>
        </w:rPr>
        <w:t>within</w:t>
      </w:r>
      <w:r w:rsidR="276EA1AB" w:rsidRPr="2425A842">
        <w:rPr>
          <w:rFonts w:ascii="Tahoma" w:hAnsi="Tahoma" w:cs="Tahoma"/>
          <w:sz w:val="22"/>
          <w:szCs w:val="22"/>
          <w:lang w:val="en-US"/>
        </w:rPr>
        <w:t xml:space="preserve"> the framework of decent work.</w:t>
      </w:r>
    </w:p>
    <w:p w14:paraId="48161F4B" w14:textId="32AE557D" w:rsidR="000F302B" w:rsidRPr="00AB655A" w:rsidRDefault="64A20393" w:rsidP="00870881">
      <w:pPr>
        <w:spacing w:line="288" w:lineRule="auto"/>
        <w:jc w:val="both"/>
        <w:rPr>
          <w:rFonts w:ascii="Tahoma" w:hAnsi="Tahoma" w:cs="Tahoma"/>
          <w:sz w:val="22"/>
          <w:szCs w:val="22"/>
          <w:lang w:val="en-US"/>
        </w:rPr>
      </w:pPr>
      <w:r w:rsidRPr="2425A842">
        <w:rPr>
          <w:rFonts w:ascii="Tahoma" w:hAnsi="Tahoma" w:cs="Tahoma"/>
          <w:sz w:val="22"/>
          <w:szCs w:val="22"/>
          <w:lang w:val="en-US"/>
        </w:rPr>
        <w:t>To comply with the agreements of the 2007 Conference, the Technical Secretariat of the IACML conducted a study on the institutionalization of a gender approach in the Ministries of Labor. This study described the different types of offices, units, or committees that addressed gender within the Ministries.</w:t>
      </w:r>
      <w:r w:rsidR="0D167883" w:rsidRPr="2425A842">
        <w:rPr>
          <w:rFonts w:ascii="Tahoma" w:hAnsi="Tahoma" w:cs="Tahoma"/>
          <w:sz w:val="22"/>
          <w:szCs w:val="22"/>
          <w:lang w:val="en-US"/>
        </w:rPr>
        <w:t xml:space="preserve"> </w:t>
      </w:r>
      <w:r w:rsidR="733D3D73" w:rsidRPr="2425A842">
        <w:rPr>
          <w:rFonts w:ascii="Tahoma" w:hAnsi="Tahoma" w:cs="Tahoma"/>
          <w:sz w:val="22"/>
          <w:szCs w:val="22"/>
          <w:lang w:val="en-US"/>
        </w:rPr>
        <w:t xml:space="preserve">This provided the </w:t>
      </w:r>
      <w:r w:rsidR="0D167883" w:rsidRPr="2425A842">
        <w:rPr>
          <w:rFonts w:ascii="Tahoma" w:hAnsi="Tahoma" w:cs="Tahoma"/>
          <w:sz w:val="22"/>
          <w:szCs w:val="22"/>
          <w:lang w:val="en-US"/>
        </w:rPr>
        <w:t xml:space="preserve">IACML with a hemispheric overview of the progress pertaining to the institutionalization of a gender approach in the Ministries of Labor of the Americas, while also including the strengths and weaknesses of the processes and the </w:t>
      </w:r>
      <w:r w:rsidR="2425A842" w:rsidRPr="2425A842">
        <w:rPr>
          <w:rFonts w:ascii="Tahoma" w:hAnsi="Tahoma" w:cs="Tahoma"/>
          <w:sz w:val="22"/>
          <w:szCs w:val="22"/>
          <w:lang w:val="en-US"/>
        </w:rPr>
        <w:t>most notable results of their efforts</w:t>
      </w:r>
      <w:r w:rsidR="0D167883" w:rsidRPr="2425A842">
        <w:rPr>
          <w:rFonts w:ascii="Tahoma" w:hAnsi="Tahoma" w:cs="Tahoma"/>
          <w:sz w:val="22"/>
          <w:szCs w:val="22"/>
          <w:lang w:val="en-US"/>
        </w:rPr>
        <w:t xml:space="preserve">. </w:t>
      </w:r>
      <w:r w:rsidR="0EE0813D" w:rsidRPr="2425A842">
        <w:rPr>
          <w:rFonts w:ascii="Tahoma" w:hAnsi="Tahoma" w:cs="Tahoma"/>
          <w:sz w:val="22"/>
          <w:szCs w:val="22"/>
          <w:lang w:val="en-US"/>
        </w:rPr>
        <w:t xml:space="preserve">The purpose was to </w:t>
      </w:r>
      <w:r w:rsidR="31576D39" w:rsidRPr="2425A842">
        <w:rPr>
          <w:rFonts w:ascii="Tahoma" w:hAnsi="Tahoma" w:cs="Tahoma"/>
          <w:sz w:val="22"/>
          <w:szCs w:val="22"/>
          <w:lang w:val="en-US"/>
        </w:rPr>
        <w:t xml:space="preserve">identify strategic areas of intervention, specifically through the Inter-American Network for Labor Administration (RIAL). </w:t>
      </w:r>
      <w:r w:rsidR="46723B73" w:rsidRPr="2425A842">
        <w:rPr>
          <w:rFonts w:ascii="Tahoma" w:hAnsi="Tahoma" w:cs="Tahoma"/>
          <w:sz w:val="22"/>
          <w:szCs w:val="22"/>
          <w:lang w:val="en-US"/>
        </w:rPr>
        <w:t>Since then</w:t>
      </w:r>
      <w:r w:rsidR="46723B73" w:rsidRPr="2425A842">
        <w:rPr>
          <w:rFonts w:ascii="Tahoma" w:hAnsi="Tahoma" w:cs="Tahoma"/>
          <w:sz w:val="22"/>
          <w:szCs w:val="22"/>
          <w:lang w:val="en-US"/>
        </w:rPr>
        <w:t xml:space="preserve">, the RIAL and the Inter-American Commission of Women (CIM) have </w:t>
      </w:r>
      <w:r w:rsidR="33EEC495" w:rsidRPr="2425A842">
        <w:rPr>
          <w:rFonts w:ascii="Tahoma" w:hAnsi="Tahoma" w:cs="Tahoma"/>
          <w:sz w:val="22"/>
          <w:szCs w:val="22"/>
          <w:lang w:val="en-US"/>
        </w:rPr>
        <w:t>coordinate</w:t>
      </w:r>
      <w:r w:rsidR="733D3D73" w:rsidRPr="2425A842">
        <w:rPr>
          <w:rFonts w:ascii="Tahoma" w:hAnsi="Tahoma" w:cs="Tahoma"/>
          <w:sz w:val="22"/>
          <w:szCs w:val="22"/>
          <w:lang w:val="en-US"/>
        </w:rPr>
        <w:t>d</w:t>
      </w:r>
      <w:r w:rsidR="46723B73" w:rsidRPr="2425A842">
        <w:rPr>
          <w:rFonts w:ascii="Tahoma" w:hAnsi="Tahoma" w:cs="Tahoma"/>
          <w:sz w:val="22"/>
          <w:szCs w:val="22"/>
          <w:lang w:val="en-US"/>
        </w:rPr>
        <w:t xml:space="preserve"> different efforts</w:t>
      </w:r>
      <w:r w:rsidR="31576D39" w:rsidRPr="2425A842">
        <w:rPr>
          <w:rFonts w:ascii="Tahoma" w:hAnsi="Tahoma" w:cs="Tahoma"/>
          <w:sz w:val="22"/>
          <w:szCs w:val="22"/>
          <w:lang w:val="en-US"/>
        </w:rPr>
        <w:t xml:space="preserve"> </w:t>
      </w:r>
      <w:r w:rsidR="46723B73" w:rsidRPr="2425A842">
        <w:rPr>
          <w:rFonts w:ascii="Tahoma" w:hAnsi="Tahoma" w:cs="Tahoma"/>
          <w:sz w:val="22"/>
          <w:szCs w:val="22"/>
          <w:lang w:val="en-US"/>
        </w:rPr>
        <w:t xml:space="preserve">to guide the Ministries in that direction, including technical studies, participatory gender </w:t>
      </w:r>
      <w:r w:rsidR="564C4AC8" w:rsidRPr="2425A842">
        <w:rPr>
          <w:rFonts w:ascii="Tahoma" w:hAnsi="Tahoma" w:cs="Tahoma"/>
          <w:sz w:val="22"/>
          <w:szCs w:val="22"/>
          <w:lang w:val="en-US"/>
        </w:rPr>
        <w:t>audits</w:t>
      </w:r>
      <w:r w:rsidR="46723B73" w:rsidRPr="2425A842">
        <w:rPr>
          <w:rFonts w:ascii="Tahoma" w:hAnsi="Tahoma" w:cs="Tahoma"/>
          <w:sz w:val="22"/>
          <w:szCs w:val="22"/>
          <w:lang w:val="en-US"/>
        </w:rPr>
        <w:t>, regional and sub</w:t>
      </w:r>
      <w:r w:rsidR="02E26034" w:rsidRPr="2425A842">
        <w:rPr>
          <w:rFonts w:ascii="Tahoma" w:hAnsi="Tahoma" w:cs="Tahoma"/>
          <w:sz w:val="22"/>
          <w:szCs w:val="22"/>
          <w:lang w:val="en-US"/>
        </w:rPr>
        <w:t>-</w:t>
      </w:r>
      <w:r w:rsidR="46723B73" w:rsidRPr="2425A842">
        <w:rPr>
          <w:rFonts w:ascii="Tahoma" w:hAnsi="Tahoma" w:cs="Tahoma"/>
          <w:sz w:val="22"/>
          <w:szCs w:val="22"/>
          <w:lang w:val="en-US"/>
        </w:rPr>
        <w:t>regional workshops, and bilateral cooperation activities, among others.</w:t>
      </w:r>
    </w:p>
    <w:p w14:paraId="78712A70" w14:textId="0DC2C448" w:rsidR="0040298E" w:rsidRPr="00AB655A" w:rsidRDefault="6ED8F9D0" w:rsidP="00870881">
      <w:pPr>
        <w:spacing w:line="288" w:lineRule="auto"/>
        <w:jc w:val="both"/>
        <w:rPr>
          <w:rFonts w:ascii="Tahoma" w:hAnsi="Tahoma" w:cs="Tahoma"/>
          <w:sz w:val="22"/>
          <w:szCs w:val="22"/>
          <w:lang w:val="en-US"/>
        </w:rPr>
      </w:pPr>
      <w:r w:rsidRPr="2425A842">
        <w:rPr>
          <w:rFonts w:ascii="Tahoma" w:hAnsi="Tahoma" w:cs="Tahoma"/>
          <w:sz w:val="22"/>
          <w:szCs w:val="22"/>
          <w:lang w:val="en-US"/>
        </w:rPr>
        <w:t>Recently, and i</w:t>
      </w:r>
      <w:r w:rsidR="46723B73" w:rsidRPr="2425A842">
        <w:rPr>
          <w:rFonts w:ascii="Tahoma" w:hAnsi="Tahoma" w:cs="Tahoma"/>
          <w:sz w:val="22"/>
          <w:szCs w:val="22"/>
          <w:lang w:val="en-US"/>
        </w:rPr>
        <w:t xml:space="preserve">n the </w:t>
      </w:r>
      <w:r w:rsidR="46723B73" w:rsidRPr="2425A842">
        <w:rPr>
          <w:rFonts w:ascii="Tahoma" w:hAnsi="Tahoma" w:cs="Tahoma"/>
          <w:sz w:val="22"/>
          <w:szCs w:val="22"/>
          <w:lang w:val="en-US"/>
        </w:rPr>
        <w:t>context</w:t>
      </w:r>
      <w:r w:rsidR="46723B73" w:rsidRPr="2425A842">
        <w:rPr>
          <w:rFonts w:ascii="Tahoma" w:hAnsi="Tahoma" w:cs="Tahoma"/>
          <w:sz w:val="22"/>
          <w:szCs w:val="22"/>
          <w:lang w:val="en-US"/>
        </w:rPr>
        <w:t xml:space="preserve"> of the COVID-19 pandemic, the RIAL/OAS and the CIM organized the First Hemispheric Dialogue among gender units or areas from the Ministries of Labor of the Americas. It was a space to exchange experiences and reflect on emerging issues and challenges regarding gender equality </w:t>
      </w:r>
      <w:proofErr w:type="gramStart"/>
      <w:r w:rsidR="46723B73" w:rsidRPr="2425A842">
        <w:rPr>
          <w:rFonts w:ascii="Tahoma" w:hAnsi="Tahoma" w:cs="Tahoma"/>
          <w:sz w:val="22"/>
          <w:szCs w:val="22"/>
          <w:lang w:val="en-US"/>
        </w:rPr>
        <w:t>in light of</w:t>
      </w:r>
      <w:proofErr w:type="gramEnd"/>
      <w:r w:rsidR="46723B73" w:rsidRPr="2425A842">
        <w:rPr>
          <w:rFonts w:ascii="Tahoma" w:hAnsi="Tahoma" w:cs="Tahoma"/>
          <w:sz w:val="22"/>
          <w:szCs w:val="22"/>
          <w:lang w:val="en-US"/>
        </w:rPr>
        <w:t xml:space="preserve"> the health and economic crisis</w:t>
      </w:r>
      <w:r w:rsidR="564C4AC8" w:rsidRPr="2425A842">
        <w:rPr>
          <w:rFonts w:ascii="Tahoma" w:hAnsi="Tahoma" w:cs="Tahoma"/>
          <w:sz w:val="22"/>
          <w:szCs w:val="22"/>
          <w:lang w:val="en-US"/>
        </w:rPr>
        <w:t>. P</w:t>
      </w:r>
      <w:r w:rsidR="46723B73" w:rsidRPr="2425A842">
        <w:rPr>
          <w:rFonts w:ascii="Tahoma" w:hAnsi="Tahoma" w:cs="Tahoma"/>
          <w:sz w:val="22"/>
          <w:szCs w:val="22"/>
          <w:lang w:val="en-US"/>
        </w:rPr>
        <w:t xml:space="preserve">articipants identified key topics </w:t>
      </w:r>
      <w:r w:rsidR="46723B73" w:rsidRPr="2425A842">
        <w:rPr>
          <w:rFonts w:ascii="Tahoma" w:hAnsi="Tahoma" w:cs="Tahoma"/>
          <w:sz w:val="22"/>
          <w:szCs w:val="22"/>
          <w:lang w:val="en-US"/>
        </w:rPr>
        <w:t>to continue</w:t>
      </w:r>
      <w:r w:rsidR="46723B73" w:rsidRPr="2425A842">
        <w:rPr>
          <w:rFonts w:ascii="Tahoma" w:hAnsi="Tahoma" w:cs="Tahoma"/>
          <w:sz w:val="22"/>
          <w:szCs w:val="22"/>
          <w:lang w:val="en-US"/>
        </w:rPr>
        <w:t xml:space="preserve"> cooperation and training. One of these was </w:t>
      </w:r>
      <w:r w:rsidR="72FA999E" w:rsidRPr="2425A842">
        <w:rPr>
          <w:rFonts w:ascii="Tahoma" w:hAnsi="Tahoma" w:cs="Tahoma"/>
          <w:sz w:val="22"/>
          <w:szCs w:val="22"/>
          <w:lang w:val="en-US"/>
        </w:rPr>
        <w:t>the need to have a manual to guide the work of existing Specialized Gender Units within the Ministries of Labor, as well as for the institutions that were in the process of establishing these units.</w:t>
      </w:r>
    </w:p>
    <w:p w14:paraId="6B3B0713" w14:textId="3CFA2B78" w:rsidR="00083012" w:rsidRPr="00AB655A" w:rsidRDefault="00C174F8" w:rsidP="00083012">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As a response to this request, the Technical Secretariat of the IACML is pleased to provide the Ministries of Labor with this Manual. It is intended to be a consultation tool </w:t>
      </w:r>
      <w:r w:rsidRPr="00AB655A">
        <w:rPr>
          <w:rFonts w:ascii="Tahoma" w:hAnsi="Tahoma" w:cs="Tahoma"/>
          <w:sz w:val="22"/>
          <w:szCs w:val="22"/>
          <w:lang w:val="en-US"/>
        </w:rPr>
        <w:lastRenderedPageBreak/>
        <w:t>that guides key institutional strengthening actions that support the objectives of gender equality in the</w:t>
      </w:r>
      <w:r w:rsidR="00EA685A">
        <w:rPr>
          <w:rFonts w:ascii="Tahoma" w:hAnsi="Tahoma" w:cs="Tahoma"/>
          <w:sz w:val="22"/>
          <w:szCs w:val="22"/>
          <w:lang w:val="en-US"/>
        </w:rPr>
        <w:t xml:space="preserve"> world of work</w:t>
      </w:r>
      <w:r w:rsidRPr="00AB655A">
        <w:rPr>
          <w:rFonts w:ascii="Tahoma" w:hAnsi="Tahoma" w:cs="Tahoma"/>
          <w:sz w:val="22"/>
          <w:szCs w:val="22"/>
          <w:lang w:val="en-US"/>
        </w:rPr>
        <w:t>.</w:t>
      </w:r>
    </w:p>
    <w:p w14:paraId="65070BCA" w14:textId="747B6318" w:rsidR="00523C22" w:rsidRPr="00AB655A" w:rsidRDefault="004503C4" w:rsidP="00083012">
      <w:pPr>
        <w:spacing w:line="288" w:lineRule="auto"/>
        <w:jc w:val="both"/>
        <w:rPr>
          <w:rFonts w:ascii="Tahoma" w:hAnsi="Tahoma" w:cs="Tahoma"/>
          <w:b/>
          <w:bCs/>
          <w:sz w:val="22"/>
          <w:szCs w:val="22"/>
          <w:lang w:val="en-US"/>
        </w:rPr>
      </w:pPr>
      <w:r w:rsidRPr="00AB655A">
        <w:rPr>
          <w:rFonts w:ascii="Tahoma" w:hAnsi="Tahoma" w:cs="Tahoma"/>
          <w:b/>
          <w:sz w:val="22"/>
          <w:szCs w:val="22"/>
          <w:lang w:val="en-US"/>
        </w:rPr>
        <w:t>How did the Manual come to life?</w:t>
      </w:r>
    </w:p>
    <w:p w14:paraId="3C958A3A" w14:textId="4E0CCC64" w:rsidR="004503C4" w:rsidRPr="00AB655A" w:rsidRDefault="4497A73A" w:rsidP="00083012">
      <w:pPr>
        <w:spacing w:line="288" w:lineRule="auto"/>
        <w:jc w:val="both"/>
        <w:rPr>
          <w:rFonts w:ascii="Tahoma" w:hAnsi="Tahoma" w:cs="Tahoma"/>
          <w:sz w:val="22"/>
          <w:szCs w:val="22"/>
          <w:lang w:val="en-US"/>
        </w:rPr>
      </w:pPr>
      <w:r w:rsidRPr="00AB655A">
        <w:rPr>
          <w:rFonts w:ascii="Tahoma" w:hAnsi="Tahoma" w:cs="Tahoma"/>
          <w:sz w:val="22"/>
          <w:szCs w:val="22"/>
          <w:lang w:val="en-US"/>
        </w:rPr>
        <w:t>T</w:t>
      </w:r>
      <w:r w:rsidR="68E6503D" w:rsidRPr="00AB655A">
        <w:rPr>
          <w:rFonts w:ascii="Tahoma" w:hAnsi="Tahoma" w:cs="Tahoma"/>
          <w:sz w:val="22"/>
          <w:szCs w:val="22"/>
          <w:lang w:val="en-US"/>
        </w:rPr>
        <w:t>o develop this Manual, the Technical Secretariat consulted the results of the studies published in 2009 and 2021 by the IACML,</w:t>
      </w:r>
      <w:r w:rsidR="002826AC" w:rsidRPr="00AB655A">
        <w:rPr>
          <w:rStyle w:val="FootnoteReference"/>
          <w:rFonts w:ascii="Tahoma" w:hAnsi="Tahoma" w:cs="Tahoma"/>
          <w:sz w:val="22"/>
          <w:szCs w:val="22"/>
          <w:lang w:val="en-US"/>
        </w:rPr>
        <w:footnoteReference w:id="1"/>
      </w:r>
      <w:r w:rsidR="68E6503D" w:rsidRPr="00AB655A">
        <w:rPr>
          <w:rFonts w:ascii="Tahoma" w:hAnsi="Tahoma" w:cs="Tahoma"/>
          <w:sz w:val="22"/>
          <w:szCs w:val="22"/>
          <w:lang w:val="en-US"/>
        </w:rPr>
        <w:t xml:space="preserve"> which shed light on the strengths and weaknesses of the gender units and their evolution </w:t>
      </w:r>
      <w:r w:rsidR="3CBEA4C3" w:rsidRPr="00AB655A">
        <w:rPr>
          <w:rFonts w:ascii="Tahoma" w:hAnsi="Tahoma" w:cs="Tahoma"/>
          <w:sz w:val="22"/>
          <w:szCs w:val="22"/>
          <w:lang w:val="en-US"/>
        </w:rPr>
        <w:t>throughout</w:t>
      </w:r>
      <w:r w:rsidR="68E6503D" w:rsidRPr="00AB655A">
        <w:rPr>
          <w:rFonts w:ascii="Tahoma" w:hAnsi="Tahoma" w:cs="Tahoma"/>
          <w:sz w:val="22"/>
          <w:szCs w:val="22"/>
          <w:lang w:val="en-US"/>
        </w:rPr>
        <w:t xml:space="preserve"> </w:t>
      </w:r>
      <w:r w:rsidR="68E6503D" w:rsidRPr="00AB655A">
        <w:rPr>
          <w:rFonts w:ascii="Tahoma" w:hAnsi="Tahoma" w:cs="Tahoma"/>
          <w:sz w:val="22"/>
          <w:szCs w:val="22"/>
          <w:lang w:val="en-US"/>
        </w:rPr>
        <w:t>a</w:t>
      </w:r>
      <w:r w:rsidR="68E6503D" w:rsidRPr="00AB655A">
        <w:rPr>
          <w:rFonts w:ascii="Tahoma" w:hAnsi="Tahoma" w:cs="Tahoma"/>
          <w:sz w:val="22"/>
          <w:szCs w:val="22"/>
          <w:lang w:val="en-US"/>
        </w:rPr>
        <w:t xml:space="preserve"> decade. </w:t>
      </w:r>
      <w:r w:rsidR="6437C1A3">
        <w:rPr>
          <w:rFonts w:ascii="Tahoma" w:hAnsi="Tahoma" w:cs="Tahoma"/>
          <w:sz w:val="22"/>
          <w:szCs w:val="22"/>
          <w:lang w:val="en-US"/>
        </w:rPr>
        <w:t xml:space="preserve">Therefore, </w:t>
      </w:r>
      <w:r w:rsidR="68E6503D" w:rsidRPr="00AB655A">
        <w:rPr>
          <w:rFonts w:ascii="Tahoma" w:hAnsi="Tahoma" w:cs="Tahoma"/>
          <w:sz w:val="22"/>
          <w:szCs w:val="22"/>
          <w:lang w:val="en-US"/>
        </w:rPr>
        <w:t xml:space="preserve">this Manual </w:t>
      </w:r>
      <w:proofErr w:type="gramStart"/>
      <w:r w:rsidR="68E6503D" w:rsidRPr="00AB655A">
        <w:rPr>
          <w:rFonts w:ascii="Tahoma" w:hAnsi="Tahoma" w:cs="Tahoma"/>
          <w:sz w:val="22"/>
          <w:szCs w:val="22"/>
          <w:lang w:val="en-US"/>
        </w:rPr>
        <w:t>takes into account</w:t>
      </w:r>
      <w:proofErr w:type="gramEnd"/>
      <w:r w:rsidR="100A7226" w:rsidRPr="00AB655A">
        <w:rPr>
          <w:rFonts w:ascii="Tahoma" w:hAnsi="Tahoma" w:cs="Tahoma"/>
          <w:sz w:val="22"/>
          <w:szCs w:val="22"/>
          <w:lang w:val="en-US"/>
        </w:rPr>
        <w:t xml:space="preserve"> the</w:t>
      </w:r>
      <w:r w:rsidR="68E6503D" w:rsidRPr="00AB655A">
        <w:rPr>
          <w:rFonts w:ascii="Tahoma" w:hAnsi="Tahoma" w:cs="Tahoma"/>
          <w:sz w:val="22"/>
          <w:szCs w:val="22"/>
          <w:lang w:val="en-US"/>
        </w:rPr>
        <w:t xml:space="preserve"> main needs </w:t>
      </w:r>
      <w:r w:rsidR="100A7226" w:rsidRPr="00AB655A">
        <w:rPr>
          <w:rFonts w:ascii="Tahoma" w:hAnsi="Tahoma" w:cs="Tahoma"/>
          <w:sz w:val="22"/>
          <w:szCs w:val="22"/>
          <w:lang w:val="en-US"/>
        </w:rPr>
        <w:t xml:space="preserve">of these units </w:t>
      </w:r>
      <w:r w:rsidR="68E6503D" w:rsidRPr="00AB655A">
        <w:rPr>
          <w:rFonts w:ascii="Tahoma" w:hAnsi="Tahoma" w:cs="Tahoma"/>
          <w:sz w:val="22"/>
          <w:szCs w:val="22"/>
          <w:lang w:val="en-US"/>
        </w:rPr>
        <w:t xml:space="preserve">to continue making progress in institutionalizing and mainstreaming a gender approach in the various institutions </w:t>
      </w:r>
      <w:r w:rsidR="733D3D73" w:rsidRPr="00AB655A">
        <w:rPr>
          <w:rFonts w:ascii="Tahoma" w:hAnsi="Tahoma" w:cs="Tahoma"/>
          <w:sz w:val="22"/>
          <w:szCs w:val="22"/>
          <w:lang w:val="en-US"/>
        </w:rPr>
        <w:t>of</w:t>
      </w:r>
      <w:r w:rsidR="68E6503D" w:rsidRPr="00AB655A">
        <w:rPr>
          <w:rFonts w:ascii="Tahoma" w:hAnsi="Tahoma" w:cs="Tahoma"/>
          <w:sz w:val="22"/>
          <w:szCs w:val="22"/>
          <w:lang w:val="en-US"/>
        </w:rPr>
        <w:t xml:space="preserve"> th</w:t>
      </w:r>
      <w:r w:rsidR="73B25F3B" w:rsidRPr="00AB655A">
        <w:rPr>
          <w:rFonts w:ascii="Tahoma" w:hAnsi="Tahoma" w:cs="Tahoma"/>
          <w:sz w:val="22"/>
          <w:szCs w:val="22"/>
          <w:lang w:val="en-US"/>
        </w:rPr>
        <w:t>e labor sphere: Min</w:t>
      </w:r>
      <w:r w:rsidR="68E6503D" w:rsidRPr="00AB655A">
        <w:rPr>
          <w:rFonts w:ascii="Tahoma" w:hAnsi="Tahoma" w:cs="Tahoma"/>
          <w:sz w:val="22"/>
          <w:szCs w:val="22"/>
          <w:lang w:val="en-US"/>
        </w:rPr>
        <w:t>i</w:t>
      </w:r>
      <w:r w:rsidR="73B25F3B" w:rsidRPr="00AB655A">
        <w:rPr>
          <w:rFonts w:ascii="Tahoma" w:hAnsi="Tahoma" w:cs="Tahoma"/>
          <w:sz w:val="22"/>
          <w:szCs w:val="22"/>
          <w:lang w:val="en-US"/>
        </w:rPr>
        <w:t>s</w:t>
      </w:r>
      <w:r w:rsidR="68E6503D" w:rsidRPr="00AB655A">
        <w:rPr>
          <w:rFonts w:ascii="Tahoma" w:hAnsi="Tahoma" w:cs="Tahoma"/>
          <w:sz w:val="22"/>
          <w:szCs w:val="22"/>
          <w:lang w:val="en-US"/>
        </w:rPr>
        <w:t xml:space="preserve">tries, Secretariats, and Departments. </w:t>
      </w:r>
    </w:p>
    <w:p w14:paraId="515E1E01" w14:textId="58E30CB7" w:rsidR="0066428D" w:rsidRPr="00AB655A" w:rsidRDefault="0500AADC" w:rsidP="001B0B97">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w:t>
      </w:r>
      <w:r w:rsidR="25F46228" w:rsidRPr="00AB655A">
        <w:rPr>
          <w:rFonts w:ascii="Tahoma" w:hAnsi="Tahoma" w:cs="Tahoma"/>
          <w:sz w:val="22"/>
          <w:szCs w:val="22"/>
          <w:lang w:val="en-US"/>
        </w:rPr>
        <w:t xml:space="preserve">process of developing this document also included consulting </w:t>
      </w:r>
      <w:r w:rsidR="564C4AC8">
        <w:rPr>
          <w:rFonts w:ascii="Tahoma" w:hAnsi="Tahoma" w:cs="Tahoma"/>
          <w:sz w:val="22"/>
          <w:szCs w:val="22"/>
          <w:lang w:val="en-US"/>
        </w:rPr>
        <w:t>ot</w:t>
      </w:r>
      <w:r w:rsidR="25F46228" w:rsidRPr="00AB655A">
        <w:rPr>
          <w:rFonts w:ascii="Tahoma" w:hAnsi="Tahoma" w:cs="Tahoma"/>
          <w:sz w:val="22"/>
          <w:szCs w:val="22"/>
          <w:lang w:val="en-US"/>
        </w:rPr>
        <w:t>her manuals that specifically address the issue</w:t>
      </w:r>
      <w:proofErr w:type="gramStart"/>
      <w:r w:rsidR="778ED435" w:rsidRPr="00AB655A">
        <w:rPr>
          <w:rFonts w:ascii="Tahoma" w:hAnsi="Tahoma" w:cs="Tahoma"/>
          <w:sz w:val="22"/>
          <w:szCs w:val="22"/>
          <w:lang w:val="en-US"/>
        </w:rPr>
        <w:t>, in particular, decrees</w:t>
      </w:r>
      <w:proofErr w:type="gramEnd"/>
      <w:r w:rsidR="778ED435" w:rsidRPr="00AB655A">
        <w:rPr>
          <w:rFonts w:ascii="Tahoma" w:hAnsi="Tahoma" w:cs="Tahoma"/>
          <w:sz w:val="22"/>
          <w:szCs w:val="22"/>
          <w:lang w:val="en-US"/>
        </w:rPr>
        <w:t xml:space="preserve"> and/or </w:t>
      </w:r>
      <w:r w:rsidR="25F46228" w:rsidRPr="00AB655A">
        <w:rPr>
          <w:rFonts w:ascii="Tahoma" w:hAnsi="Tahoma" w:cs="Tahoma"/>
          <w:sz w:val="22"/>
          <w:szCs w:val="22"/>
          <w:lang w:val="en-US"/>
        </w:rPr>
        <w:t xml:space="preserve">ordinances for the creation of gender units from </w:t>
      </w:r>
      <w:r w:rsidR="35622EAE" w:rsidRPr="00AB655A">
        <w:rPr>
          <w:rFonts w:ascii="Tahoma" w:hAnsi="Tahoma" w:cs="Tahoma"/>
          <w:sz w:val="22"/>
          <w:szCs w:val="22"/>
          <w:lang w:val="en-US"/>
        </w:rPr>
        <w:t>v</w:t>
      </w:r>
      <w:r w:rsidR="02E26034">
        <w:rPr>
          <w:rFonts w:ascii="Tahoma" w:hAnsi="Tahoma" w:cs="Tahoma"/>
          <w:sz w:val="22"/>
          <w:szCs w:val="22"/>
          <w:lang w:val="en-US"/>
        </w:rPr>
        <w:t>arious countries in the region.</w:t>
      </w:r>
      <w:r w:rsidR="00AE0882" w:rsidRPr="00AB655A">
        <w:rPr>
          <w:rStyle w:val="FootnoteReference"/>
          <w:rFonts w:ascii="Tahoma" w:hAnsi="Tahoma" w:cs="Tahoma"/>
          <w:sz w:val="22"/>
          <w:szCs w:val="22"/>
          <w:lang w:val="en-US"/>
        </w:rPr>
        <w:footnoteReference w:id="2"/>
      </w:r>
      <w:r w:rsidR="25F46228" w:rsidRPr="00AB655A">
        <w:rPr>
          <w:rFonts w:ascii="Tahoma" w:hAnsi="Tahoma" w:cs="Tahoma"/>
          <w:sz w:val="22"/>
          <w:szCs w:val="22"/>
          <w:lang w:val="en-US"/>
        </w:rPr>
        <w:t xml:space="preserve"> The Participatory</w:t>
      </w:r>
      <w:r w:rsidR="2E419D6A" w:rsidRPr="00AB655A">
        <w:rPr>
          <w:rFonts w:ascii="Tahoma" w:hAnsi="Tahoma" w:cs="Tahoma"/>
          <w:sz w:val="22"/>
          <w:szCs w:val="22"/>
          <w:lang w:val="en-US"/>
        </w:rPr>
        <w:t xml:space="preserve"> Gender Diagnostics </w:t>
      </w:r>
      <w:r w:rsidR="564C4AC8">
        <w:rPr>
          <w:rFonts w:ascii="Tahoma" w:hAnsi="Tahoma" w:cs="Tahoma"/>
          <w:sz w:val="22"/>
          <w:szCs w:val="22"/>
          <w:lang w:val="en-US"/>
        </w:rPr>
        <w:t xml:space="preserve">conducted by </w:t>
      </w:r>
      <w:r w:rsidR="2E419D6A" w:rsidRPr="00AB655A">
        <w:rPr>
          <w:rFonts w:ascii="Tahoma" w:hAnsi="Tahoma" w:cs="Tahoma"/>
          <w:sz w:val="22"/>
          <w:szCs w:val="22"/>
          <w:lang w:val="en-US"/>
        </w:rPr>
        <w:t>some Ministries of Labor in the region</w:t>
      </w:r>
      <w:r w:rsidR="00514F7E">
        <w:rPr>
          <w:rFonts w:ascii="Tahoma" w:hAnsi="Tahoma" w:cs="Tahoma"/>
          <w:sz w:val="22"/>
          <w:szCs w:val="22"/>
          <w:lang w:val="en-US"/>
        </w:rPr>
        <w:t xml:space="preserve"> </w:t>
      </w:r>
      <w:r w:rsidR="2E419D6A" w:rsidRPr="00AB655A">
        <w:rPr>
          <w:rFonts w:ascii="Tahoma" w:hAnsi="Tahoma" w:cs="Tahoma"/>
          <w:sz w:val="22"/>
          <w:szCs w:val="22"/>
          <w:lang w:val="en-US"/>
        </w:rPr>
        <w:t>—</w:t>
      </w:r>
      <w:r w:rsidR="2E419D6A" w:rsidRPr="00AB655A">
        <w:rPr>
          <w:rFonts w:ascii="Tahoma" w:hAnsi="Tahoma" w:cs="Tahoma"/>
          <w:sz w:val="22"/>
          <w:szCs w:val="22"/>
          <w:lang w:val="en-US"/>
        </w:rPr>
        <w:t>which</w:t>
      </w:r>
      <w:r w:rsidR="2E419D6A" w:rsidRPr="00AB655A">
        <w:rPr>
          <w:rFonts w:ascii="Tahoma" w:hAnsi="Tahoma" w:cs="Tahoma"/>
          <w:sz w:val="22"/>
          <w:szCs w:val="22"/>
          <w:lang w:val="en-US"/>
        </w:rPr>
        <w:t xml:space="preserve"> were </w:t>
      </w:r>
      <w:r w:rsidR="2E419D6A" w:rsidRPr="00AB655A">
        <w:rPr>
          <w:rFonts w:ascii="Tahoma" w:hAnsi="Tahoma" w:cs="Tahoma"/>
          <w:sz w:val="22"/>
          <w:szCs w:val="22"/>
          <w:lang w:val="en-US"/>
        </w:rPr>
        <w:lastRenderedPageBreak/>
        <w:t>documented in the RIAL/OAS study on the issue</w:t>
      </w:r>
      <w:r w:rsidR="001B0B97" w:rsidRPr="00AB655A">
        <w:rPr>
          <w:rStyle w:val="FootnoteReference"/>
          <w:rFonts w:ascii="Tahoma" w:hAnsi="Tahoma" w:cs="Tahoma"/>
          <w:sz w:val="22"/>
          <w:szCs w:val="22"/>
          <w:lang w:val="en-US"/>
        </w:rPr>
        <w:footnoteReference w:id="3"/>
      </w:r>
      <w:r w:rsidR="2E419D6A" w:rsidRPr="00AB655A">
        <w:rPr>
          <w:rFonts w:ascii="Tahoma" w:hAnsi="Tahoma" w:cs="Tahoma"/>
          <w:sz w:val="22"/>
          <w:szCs w:val="22"/>
          <w:lang w:val="en-US"/>
        </w:rPr>
        <w:t>—</w:t>
      </w:r>
      <w:r w:rsidR="00514F7E">
        <w:rPr>
          <w:rFonts w:ascii="Tahoma" w:hAnsi="Tahoma" w:cs="Tahoma"/>
          <w:sz w:val="22"/>
          <w:szCs w:val="22"/>
          <w:lang w:val="en-US"/>
        </w:rPr>
        <w:t xml:space="preserve"> </w:t>
      </w:r>
      <w:r w:rsidR="2E419D6A" w:rsidRPr="00AB655A">
        <w:rPr>
          <w:rFonts w:ascii="Tahoma" w:hAnsi="Tahoma" w:cs="Tahoma"/>
          <w:sz w:val="22"/>
          <w:szCs w:val="22"/>
          <w:lang w:val="en-US"/>
        </w:rPr>
        <w:t>also provided significant input to develop this Manual.</w:t>
      </w:r>
    </w:p>
    <w:p w14:paraId="6F750FD1" w14:textId="4BE78C86" w:rsidR="000C48C5" w:rsidRDefault="003F28D9" w:rsidP="008D4349">
      <w:pPr>
        <w:spacing w:line="288" w:lineRule="auto"/>
        <w:jc w:val="both"/>
        <w:rPr>
          <w:rFonts w:ascii="Tahoma" w:hAnsi="Tahoma" w:cs="Tahoma"/>
          <w:sz w:val="22"/>
          <w:szCs w:val="22"/>
          <w:lang w:val="en-US"/>
        </w:rPr>
      </w:pPr>
      <w:r>
        <w:rPr>
          <w:rFonts w:ascii="Tahoma" w:hAnsi="Tahoma" w:cs="Tahoma"/>
          <w:sz w:val="22"/>
          <w:szCs w:val="22"/>
          <w:lang w:val="en-US"/>
        </w:rPr>
        <w:t>Finally, the Technical Secretariat consulted the Gender Units of the Ministries of Labor. The Units enriched the Manual through written comments and remarks</w:t>
      </w:r>
      <w:r w:rsidR="008D4349" w:rsidRPr="00AB655A">
        <w:rPr>
          <w:rFonts w:ascii="Tahoma" w:hAnsi="Tahoma" w:cs="Tahoma"/>
          <w:sz w:val="22"/>
          <w:szCs w:val="22"/>
          <w:lang w:val="en-US"/>
        </w:rPr>
        <w:t xml:space="preserve"> during the </w:t>
      </w:r>
      <w:r>
        <w:rPr>
          <w:rFonts w:ascii="Tahoma" w:hAnsi="Tahoma" w:cs="Tahoma"/>
          <w:sz w:val="22"/>
          <w:szCs w:val="22"/>
          <w:lang w:val="en-US"/>
        </w:rPr>
        <w:t>3</w:t>
      </w:r>
      <w:r w:rsidRPr="00F61917">
        <w:rPr>
          <w:rFonts w:ascii="Tahoma" w:hAnsi="Tahoma" w:cs="Tahoma"/>
          <w:sz w:val="22"/>
          <w:szCs w:val="22"/>
          <w:vertAlign w:val="superscript"/>
          <w:lang w:val="en-US"/>
        </w:rPr>
        <w:t>rd</w:t>
      </w:r>
      <w:r>
        <w:rPr>
          <w:rFonts w:ascii="Tahoma" w:hAnsi="Tahoma" w:cs="Tahoma"/>
          <w:sz w:val="22"/>
          <w:szCs w:val="22"/>
          <w:lang w:val="en-US"/>
        </w:rPr>
        <w:t xml:space="preserve"> </w:t>
      </w:r>
      <w:r w:rsidR="008D4349" w:rsidRPr="00AB655A">
        <w:rPr>
          <w:rFonts w:ascii="Tahoma" w:hAnsi="Tahoma" w:cs="Tahoma"/>
          <w:sz w:val="22"/>
          <w:szCs w:val="22"/>
          <w:lang w:val="en-US"/>
        </w:rPr>
        <w:t xml:space="preserve">Virtual Dialogue </w:t>
      </w:r>
      <w:r>
        <w:rPr>
          <w:rFonts w:ascii="Tahoma" w:hAnsi="Tahoma" w:cs="Tahoma"/>
          <w:sz w:val="22"/>
          <w:szCs w:val="22"/>
          <w:lang w:val="en-US"/>
        </w:rPr>
        <w:t>on gender between the Ministries of Labor, held</w:t>
      </w:r>
      <w:r w:rsidR="008D4349" w:rsidRPr="00AB655A">
        <w:rPr>
          <w:rFonts w:ascii="Tahoma" w:hAnsi="Tahoma" w:cs="Tahoma"/>
          <w:sz w:val="22"/>
          <w:szCs w:val="22"/>
          <w:lang w:val="en-US"/>
        </w:rPr>
        <w:t xml:space="preserve"> in Novembe</w:t>
      </w:r>
      <w:r w:rsidR="001B0B97" w:rsidRPr="00AB655A">
        <w:rPr>
          <w:rFonts w:ascii="Tahoma" w:hAnsi="Tahoma" w:cs="Tahoma"/>
          <w:sz w:val="22"/>
          <w:szCs w:val="22"/>
          <w:lang w:val="en-US"/>
        </w:rPr>
        <w:t>r 2021</w:t>
      </w:r>
      <w:r>
        <w:rPr>
          <w:rFonts w:ascii="Tahoma" w:hAnsi="Tahoma" w:cs="Tahoma"/>
          <w:sz w:val="22"/>
          <w:szCs w:val="22"/>
          <w:lang w:val="en-US"/>
        </w:rPr>
        <w:t xml:space="preserve"> specifically for this purpose</w:t>
      </w:r>
      <w:r w:rsidR="001B0B97" w:rsidRPr="00AB655A">
        <w:rPr>
          <w:rFonts w:ascii="Tahoma" w:hAnsi="Tahoma" w:cs="Tahoma"/>
          <w:sz w:val="22"/>
          <w:szCs w:val="22"/>
          <w:lang w:val="en-US"/>
        </w:rPr>
        <w:t>.</w:t>
      </w:r>
      <w:r w:rsidR="00F01ADB" w:rsidRPr="00AB655A">
        <w:rPr>
          <w:rFonts w:ascii="Tahoma" w:hAnsi="Tahoma" w:cs="Tahoma"/>
          <w:sz w:val="22"/>
          <w:szCs w:val="22"/>
          <w:lang w:val="en-US"/>
        </w:rPr>
        <w:t xml:space="preserve"> </w:t>
      </w:r>
    </w:p>
    <w:p w14:paraId="1C764381" w14:textId="77777777" w:rsidR="00002150" w:rsidRDefault="00002150" w:rsidP="00083012">
      <w:pPr>
        <w:spacing w:line="288" w:lineRule="auto"/>
        <w:jc w:val="both"/>
        <w:rPr>
          <w:rFonts w:ascii="Tahoma" w:hAnsi="Tahoma" w:cs="Tahoma"/>
          <w:b/>
          <w:bCs/>
          <w:sz w:val="22"/>
          <w:szCs w:val="22"/>
          <w:lang w:val="en-US"/>
        </w:rPr>
      </w:pPr>
    </w:p>
    <w:p w14:paraId="649FF36A" w14:textId="24599A04" w:rsidR="000C48C5" w:rsidRPr="00AB655A" w:rsidRDefault="00FE5A0F" w:rsidP="00083012">
      <w:pPr>
        <w:spacing w:line="288" w:lineRule="auto"/>
        <w:jc w:val="both"/>
        <w:rPr>
          <w:rFonts w:ascii="Tahoma" w:hAnsi="Tahoma" w:cs="Tahoma"/>
          <w:b/>
          <w:bCs/>
          <w:sz w:val="22"/>
          <w:szCs w:val="22"/>
          <w:lang w:val="en-US"/>
        </w:rPr>
      </w:pPr>
      <w:r w:rsidRPr="00AB655A">
        <w:rPr>
          <w:rFonts w:ascii="Tahoma" w:hAnsi="Tahoma" w:cs="Tahoma"/>
          <w:b/>
          <w:bCs/>
          <w:sz w:val="22"/>
          <w:szCs w:val="22"/>
          <w:lang w:val="en-US"/>
        </w:rPr>
        <w:t xml:space="preserve">What does the Manual </w:t>
      </w:r>
      <w:r w:rsidR="008814B1" w:rsidRPr="00AB655A">
        <w:rPr>
          <w:rFonts w:ascii="Tahoma" w:hAnsi="Tahoma" w:cs="Tahoma"/>
          <w:b/>
          <w:bCs/>
          <w:sz w:val="22"/>
          <w:szCs w:val="22"/>
          <w:lang w:val="en-US"/>
        </w:rPr>
        <w:t>include</w:t>
      </w:r>
      <w:r w:rsidRPr="00AB655A">
        <w:rPr>
          <w:rFonts w:ascii="Tahoma" w:hAnsi="Tahoma" w:cs="Tahoma"/>
          <w:b/>
          <w:bCs/>
          <w:sz w:val="22"/>
          <w:szCs w:val="22"/>
          <w:lang w:val="en-US"/>
        </w:rPr>
        <w:t>?</w:t>
      </w:r>
    </w:p>
    <w:p w14:paraId="6D097C4C" w14:textId="06096E6D" w:rsidR="00FE5A0F" w:rsidRPr="00AB655A" w:rsidRDefault="00FE5A0F" w:rsidP="00083012">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Manual consists of different sections that provide arguments in favor of creating gender units where they do not yet exist, while providing guidelines to strengthen the work that has already begun. In this </w:t>
      </w:r>
      <w:r w:rsidR="004A1ACC">
        <w:rPr>
          <w:rFonts w:ascii="Tahoma" w:hAnsi="Tahoma" w:cs="Tahoma"/>
          <w:sz w:val="22"/>
          <w:szCs w:val="22"/>
          <w:lang w:val="en-US"/>
        </w:rPr>
        <w:t>regard</w:t>
      </w:r>
      <w:r w:rsidRPr="00AB655A">
        <w:rPr>
          <w:rFonts w:ascii="Tahoma" w:hAnsi="Tahoma" w:cs="Tahoma"/>
          <w:sz w:val="22"/>
          <w:szCs w:val="22"/>
          <w:lang w:val="en-US"/>
        </w:rPr>
        <w:t xml:space="preserve">, the Manual includes </w:t>
      </w:r>
      <w:r w:rsidR="00C60E55" w:rsidRPr="00AB655A">
        <w:rPr>
          <w:rFonts w:ascii="Tahoma" w:hAnsi="Tahoma" w:cs="Tahoma"/>
          <w:sz w:val="22"/>
          <w:szCs w:val="22"/>
          <w:lang w:val="en-US"/>
        </w:rPr>
        <w:t>different approaches to</w:t>
      </w:r>
      <w:r w:rsidRPr="00AB655A">
        <w:rPr>
          <w:rFonts w:ascii="Tahoma" w:hAnsi="Tahoma" w:cs="Tahoma"/>
          <w:sz w:val="22"/>
          <w:szCs w:val="22"/>
          <w:lang w:val="en-US"/>
        </w:rPr>
        <w:t xml:space="preserve"> institutionalize gender, definitions of the gender units, conditions to ensure that they operate properly, as well as functions, lines of action, and objectives. At the end, the Manual includes a </w:t>
      </w:r>
      <w:r w:rsidR="000D3A7D" w:rsidRPr="00AB655A">
        <w:rPr>
          <w:rFonts w:ascii="Tahoma" w:hAnsi="Tahoma" w:cs="Tahoma"/>
          <w:sz w:val="22"/>
          <w:szCs w:val="22"/>
          <w:lang w:val="en-US"/>
        </w:rPr>
        <w:t>Plan of Action</w:t>
      </w:r>
      <w:r w:rsidR="00B94107" w:rsidRPr="00AB655A">
        <w:rPr>
          <w:rFonts w:ascii="Tahoma" w:hAnsi="Tahoma" w:cs="Tahoma"/>
          <w:sz w:val="22"/>
          <w:szCs w:val="22"/>
          <w:lang w:val="en-US"/>
        </w:rPr>
        <w:t xml:space="preserve"> </w:t>
      </w:r>
      <w:r w:rsidR="004A1ACC">
        <w:rPr>
          <w:rFonts w:ascii="Tahoma" w:hAnsi="Tahoma" w:cs="Tahoma"/>
          <w:sz w:val="22"/>
          <w:szCs w:val="22"/>
          <w:lang w:val="en-US"/>
        </w:rPr>
        <w:t>template to</w:t>
      </w:r>
      <w:r w:rsidR="000D3A7D" w:rsidRPr="00AB655A">
        <w:rPr>
          <w:rFonts w:ascii="Tahoma" w:hAnsi="Tahoma" w:cs="Tahoma"/>
          <w:sz w:val="22"/>
          <w:szCs w:val="22"/>
          <w:lang w:val="en-US"/>
        </w:rPr>
        <w:t xml:space="preserve"> mainstream a gender approach in the Ministries of Labor.</w:t>
      </w:r>
      <w:r w:rsidRPr="00AB655A">
        <w:rPr>
          <w:rFonts w:ascii="Tahoma" w:hAnsi="Tahoma" w:cs="Tahoma"/>
          <w:sz w:val="22"/>
          <w:szCs w:val="22"/>
          <w:lang w:val="en-US"/>
        </w:rPr>
        <w:t xml:space="preserve"> </w:t>
      </w:r>
    </w:p>
    <w:p w14:paraId="0B874DF6" w14:textId="77777777" w:rsidR="00DC2BA6" w:rsidRPr="00AB655A" w:rsidRDefault="00DC2BA6" w:rsidP="00870881">
      <w:pPr>
        <w:spacing w:line="288" w:lineRule="auto"/>
        <w:jc w:val="both"/>
        <w:rPr>
          <w:rFonts w:ascii="Tahoma" w:hAnsi="Tahoma" w:cs="Tahoma"/>
          <w:sz w:val="22"/>
          <w:szCs w:val="22"/>
          <w:lang w:val="en-US"/>
        </w:rPr>
      </w:pPr>
    </w:p>
    <w:p w14:paraId="5A2F3CD6" w14:textId="3025ADDE" w:rsidR="007A3484" w:rsidRPr="00AB655A" w:rsidRDefault="2A50EB3A" w:rsidP="00EB2D0E">
      <w:pPr>
        <w:pStyle w:val="Heading1"/>
        <w:numPr>
          <w:ilvl w:val="0"/>
          <w:numId w:val="3"/>
        </w:numPr>
        <w:rPr>
          <w:lang w:val="en-US"/>
        </w:rPr>
      </w:pPr>
      <w:r w:rsidRPr="2425A842">
        <w:rPr>
          <w:lang w:val="en-US"/>
        </w:rPr>
        <w:t>JUSTIFICATION OF THE EXISTENCE AND CREATION OF SPECIALIZED GENDER UNITS</w:t>
      </w:r>
    </w:p>
    <w:p w14:paraId="6B38BB3B" w14:textId="77777777" w:rsidR="007A3484" w:rsidRPr="00AB655A" w:rsidRDefault="007A3484" w:rsidP="00870881">
      <w:pPr>
        <w:spacing w:line="288" w:lineRule="auto"/>
        <w:jc w:val="both"/>
        <w:rPr>
          <w:rFonts w:ascii="Tahoma" w:hAnsi="Tahoma" w:cs="Tahoma"/>
          <w:sz w:val="22"/>
          <w:szCs w:val="22"/>
          <w:lang w:val="en-US"/>
        </w:rPr>
      </w:pPr>
    </w:p>
    <w:p w14:paraId="054C4353" w14:textId="090833A8" w:rsidR="00CC4C7C" w:rsidRPr="00AB655A" w:rsidRDefault="000D3A7D" w:rsidP="00870881">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Beijing Platform for Action (1995) provides a regulatory framework that promotes the creation of institutional mechanisms for gender equality, and it gives “all ministries the mandate to review policies and </w:t>
      </w:r>
      <w:proofErr w:type="spellStart"/>
      <w:r w:rsidRPr="00AB655A">
        <w:rPr>
          <w:rFonts w:ascii="Tahoma" w:hAnsi="Tahoma" w:cs="Tahoma"/>
          <w:sz w:val="22"/>
          <w:szCs w:val="22"/>
          <w:lang w:val="en-US"/>
        </w:rPr>
        <w:t>programmes</w:t>
      </w:r>
      <w:proofErr w:type="spellEnd"/>
      <w:r w:rsidRPr="00AB655A">
        <w:rPr>
          <w:rFonts w:ascii="Tahoma" w:hAnsi="Tahoma" w:cs="Tahoma"/>
          <w:sz w:val="22"/>
          <w:szCs w:val="22"/>
          <w:lang w:val="en-US"/>
        </w:rPr>
        <w:t xml:space="preserve"> from a gender perspective and in the light of the Platform for Action; locate the responsibility for the implementation of that mandate at the highest possible level; establish and/or strengthen an inter-ministerial coordination structure to carry out this mandate, to monitor progress and to network with relevant machineries</w:t>
      </w:r>
      <w:r w:rsidR="004A1ACC">
        <w:rPr>
          <w:rFonts w:ascii="Tahoma" w:hAnsi="Tahoma" w:cs="Tahoma"/>
          <w:sz w:val="22"/>
          <w:szCs w:val="22"/>
          <w:lang w:val="en-US"/>
        </w:rPr>
        <w:t>.</w:t>
      </w:r>
      <w:r w:rsidR="00D94B2C" w:rsidRPr="00AB655A">
        <w:rPr>
          <w:rFonts w:ascii="Tahoma" w:hAnsi="Tahoma" w:cs="Tahoma"/>
          <w:sz w:val="22"/>
          <w:szCs w:val="22"/>
          <w:lang w:val="en-US"/>
        </w:rPr>
        <w:t>”</w:t>
      </w:r>
      <w:r w:rsidR="00CC4C7C" w:rsidRPr="00AB655A">
        <w:rPr>
          <w:rFonts w:ascii="Tahoma" w:hAnsi="Tahoma" w:cs="Tahoma"/>
          <w:sz w:val="22"/>
          <w:szCs w:val="22"/>
          <w:vertAlign w:val="superscript"/>
          <w:lang w:val="en-US"/>
        </w:rPr>
        <w:footnoteReference w:id="4"/>
      </w:r>
      <w:r w:rsidR="00397B57" w:rsidRPr="00AB655A">
        <w:rPr>
          <w:rFonts w:ascii="Tahoma" w:hAnsi="Tahoma" w:cs="Tahoma"/>
          <w:sz w:val="22"/>
          <w:szCs w:val="22"/>
          <w:lang w:val="en-US"/>
        </w:rPr>
        <w:t xml:space="preserve"> </w:t>
      </w:r>
    </w:p>
    <w:p w14:paraId="4DC463D9" w14:textId="530D9D70" w:rsidR="0045633F" w:rsidRPr="00AB655A" w:rsidRDefault="000E13E1" w:rsidP="00870881">
      <w:pPr>
        <w:spacing w:line="288" w:lineRule="auto"/>
        <w:jc w:val="both"/>
        <w:rPr>
          <w:rFonts w:ascii="Tahoma" w:hAnsi="Tahoma" w:cs="Tahoma"/>
          <w:sz w:val="22"/>
          <w:szCs w:val="22"/>
          <w:lang w:val="en-US"/>
        </w:rPr>
      </w:pPr>
      <w:r w:rsidRPr="00AB655A">
        <w:rPr>
          <w:rFonts w:ascii="Tahoma" w:hAnsi="Tahoma" w:cs="Tahoma"/>
          <w:sz w:val="22"/>
          <w:szCs w:val="22"/>
          <w:lang w:val="en-US"/>
        </w:rPr>
        <w:t>Different</w:t>
      </w:r>
      <w:r w:rsidR="0045633F" w:rsidRPr="00AB655A">
        <w:rPr>
          <w:rFonts w:ascii="Tahoma" w:hAnsi="Tahoma" w:cs="Tahoma"/>
          <w:sz w:val="22"/>
          <w:szCs w:val="22"/>
          <w:lang w:val="en-US"/>
        </w:rPr>
        <w:t xml:space="preserve"> international conferences have</w:t>
      </w:r>
      <w:r w:rsidRPr="00AB655A">
        <w:rPr>
          <w:rFonts w:ascii="Tahoma" w:hAnsi="Tahoma" w:cs="Tahoma"/>
          <w:sz w:val="22"/>
          <w:szCs w:val="22"/>
          <w:lang w:val="en-US"/>
        </w:rPr>
        <w:t xml:space="preserve"> subsequently</w:t>
      </w:r>
      <w:r w:rsidR="0045633F" w:rsidRPr="00AB655A">
        <w:rPr>
          <w:rFonts w:ascii="Tahoma" w:hAnsi="Tahoma" w:cs="Tahoma"/>
          <w:sz w:val="22"/>
          <w:szCs w:val="22"/>
          <w:lang w:val="en-US"/>
        </w:rPr>
        <w:t xml:space="preserve"> stressed the need to support the inclusion of a gender equality perspective in all political spheres and government levels to ensure that they analyze the possible effects of this approach on women and men.</w:t>
      </w:r>
      <w:r w:rsidRPr="00AB655A">
        <w:rPr>
          <w:rFonts w:ascii="Tahoma" w:hAnsi="Tahoma" w:cs="Tahoma"/>
          <w:sz w:val="22"/>
          <w:szCs w:val="22"/>
          <w:vertAlign w:val="superscript"/>
          <w:lang w:val="en-US"/>
        </w:rPr>
        <w:footnoteReference w:id="5"/>
      </w:r>
      <w:r w:rsidRPr="00AB655A">
        <w:rPr>
          <w:rFonts w:ascii="Tahoma" w:hAnsi="Tahoma" w:cs="Tahoma"/>
          <w:sz w:val="22"/>
          <w:szCs w:val="22"/>
          <w:lang w:val="en-US"/>
        </w:rPr>
        <w:t xml:space="preserve"> </w:t>
      </w:r>
      <w:r w:rsidRPr="00AB655A">
        <w:rPr>
          <w:rFonts w:ascii="Tahoma" w:hAnsi="Tahoma" w:cs="Tahoma"/>
          <w:sz w:val="22"/>
          <w:szCs w:val="22"/>
          <w:lang w:val="en-US"/>
        </w:rPr>
        <w:lastRenderedPageBreak/>
        <w:t xml:space="preserve">The Montevideo Strategy, in turn, includes measures that redefine the State’s role in gender policies insofar as they require the </w:t>
      </w:r>
      <w:r w:rsidR="00517FC9" w:rsidRPr="00AB655A">
        <w:rPr>
          <w:rFonts w:ascii="Tahoma" w:hAnsi="Tahoma" w:cs="Tahoma"/>
          <w:sz w:val="22"/>
          <w:szCs w:val="22"/>
          <w:lang w:val="en-US"/>
        </w:rPr>
        <w:t>commitment</w:t>
      </w:r>
      <w:r w:rsidRPr="00AB655A">
        <w:rPr>
          <w:rFonts w:ascii="Tahoma" w:hAnsi="Tahoma" w:cs="Tahoma"/>
          <w:sz w:val="22"/>
          <w:szCs w:val="22"/>
          <w:lang w:val="en-US"/>
        </w:rPr>
        <w:t xml:space="preserve"> and active participation of the sectoral ministries and the planning and budget entities, among other stakeholders.</w:t>
      </w:r>
      <w:r w:rsidRPr="00AB655A">
        <w:rPr>
          <w:rFonts w:ascii="Tahoma" w:hAnsi="Tahoma" w:cs="Tahoma"/>
          <w:sz w:val="22"/>
          <w:szCs w:val="22"/>
          <w:vertAlign w:val="superscript"/>
          <w:lang w:val="en-US"/>
        </w:rPr>
        <w:footnoteReference w:id="6"/>
      </w:r>
    </w:p>
    <w:p w14:paraId="484967CD" w14:textId="28405903" w:rsidR="00913229" w:rsidRPr="00AB655A" w:rsidRDefault="3469DAC5" w:rsidP="00870881">
      <w:pPr>
        <w:spacing w:line="288" w:lineRule="auto"/>
        <w:jc w:val="both"/>
        <w:rPr>
          <w:rFonts w:ascii="Tahoma" w:hAnsi="Tahoma" w:cs="Tahoma"/>
          <w:sz w:val="22"/>
          <w:szCs w:val="22"/>
          <w:lang w:val="en-US"/>
        </w:rPr>
      </w:pPr>
      <w:r w:rsidRPr="2425A842">
        <w:rPr>
          <w:rFonts w:ascii="Tahoma" w:hAnsi="Tahoma" w:cs="Tahoma"/>
          <w:sz w:val="22"/>
          <w:szCs w:val="22"/>
          <w:lang w:val="en-US"/>
        </w:rPr>
        <w:t>In 2015, the 193 UN Member States approved the 2030 Agenda for Sustainable Development as a roadmap toward a new development paradigm. The 2030 Agenda has 17 Sustainable Development Goals (SDG), which were envisioned as a universal call to end poverty, protect the plan</w:t>
      </w:r>
      <w:r w:rsidR="6B11B487" w:rsidRPr="2425A842">
        <w:rPr>
          <w:rFonts w:ascii="Tahoma" w:hAnsi="Tahoma" w:cs="Tahoma"/>
          <w:sz w:val="22"/>
          <w:szCs w:val="22"/>
          <w:lang w:val="en-US"/>
        </w:rPr>
        <w:t>e</w:t>
      </w:r>
      <w:r w:rsidRPr="2425A842">
        <w:rPr>
          <w:rFonts w:ascii="Tahoma" w:hAnsi="Tahoma" w:cs="Tahoma"/>
          <w:sz w:val="22"/>
          <w:szCs w:val="22"/>
          <w:lang w:val="en-US"/>
        </w:rPr>
        <w:t xml:space="preserve">t, and </w:t>
      </w:r>
      <w:r w:rsidR="51590775" w:rsidRPr="2425A842">
        <w:rPr>
          <w:rFonts w:ascii="Tahoma" w:hAnsi="Tahoma" w:cs="Tahoma"/>
          <w:sz w:val="22"/>
          <w:szCs w:val="22"/>
          <w:lang w:val="en-US"/>
        </w:rPr>
        <w:t xml:space="preserve">ensure peace and prosperity for all by 2030. </w:t>
      </w:r>
      <w:proofErr w:type="gramStart"/>
      <w:r w:rsidR="51590775" w:rsidRPr="2425A842">
        <w:rPr>
          <w:rFonts w:ascii="Tahoma" w:hAnsi="Tahoma" w:cs="Tahoma"/>
          <w:sz w:val="22"/>
          <w:szCs w:val="22"/>
          <w:lang w:val="en-US"/>
        </w:rPr>
        <w:t>All of</w:t>
      </w:r>
      <w:proofErr w:type="gramEnd"/>
      <w:r w:rsidR="51590775" w:rsidRPr="2425A842">
        <w:rPr>
          <w:rFonts w:ascii="Tahoma" w:hAnsi="Tahoma" w:cs="Tahoma"/>
          <w:sz w:val="22"/>
          <w:szCs w:val="22"/>
          <w:lang w:val="en-US"/>
        </w:rPr>
        <w:t xml:space="preserve"> these goals are interrelated</w:t>
      </w:r>
      <w:r w:rsidR="51590775" w:rsidRPr="2425A842">
        <w:rPr>
          <w:rFonts w:ascii="Tahoma" w:hAnsi="Tahoma" w:cs="Tahoma"/>
          <w:sz w:val="22"/>
          <w:szCs w:val="22"/>
          <w:lang w:val="en-US"/>
        </w:rPr>
        <w:t>,</w:t>
      </w:r>
      <w:r w:rsidR="51590775" w:rsidRPr="2425A842">
        <w:rPr>
          <w:rFonts w:ascii="Tahoma" w:hAnsi="Tahoma" w:cs="Tahoma"/>
          <w:sz w:val="22"/>
          <w:szCs w:val="22"/>
          <w:lang w:val="en-US"/>
        </w:rPr>
        <w:t xml:space="preserve"> recognizing that actions in one area affect the results in others</w:t>
      </w:r>
      <w:r w:rsidR="51590775" w:rsidRPr="2425A842">
        <w:rPr>
          <w:rFonts w:ascii="Tahoma" w:hAnsi="Tahoma" w:cs="Tahoma"/>
          <w:sz w:val="22"/>
          <w:szCs w:val="22"/>
          <w:lang w:val="en-US"/>
        </w:rPr>
        <w:t>;</w:t>
      </w:r>
      <w:r w:rsidR="51590775" w:rsidRPr="2425A842">
        <w:rPr>
          <w:rFonts w:ascii="Tahoma" w:hAnsi="Tahoma" w:cs="Tahoma"/>
          <w:sz w:val="22"/>
          <w:szCs w:val="22"/>
          <w:lang w:val="en-US"/>
        </w:rPr>
        <w:t xml:space="preserve"> and that balancing environmental, economic, and social sustainability is key for development. However, certain goals directly impact gender equality in the labor sphere.</w:t>
      </w:r>
    </w:p>
    <w:p w14:paraId="62DD3CD0" w14:textId="77777777" w:rsidR="004377AC" w:rsidRPr="00AB655A" w:rsidRDefault="004377AC" w:rsidP="00870881">
      <w:pPr>
        <w:spacing w:line="288" w:lineRule="auto"/>
        <w:jc w:val="both"/>
        <w:rPr>
          <w:rFonts w:ascii="Tahoma" w:hAnsi="Tahoma" w:cs="Tahoma"/>
          <w:sz w:val="22"/>
          <w:szCs w:val="22"/>
          <w:lang w:val="en-US"/>
        </w:rPr>
      </w:pPr>
    </w:p>
    <w:p w14:paraId="7CF21244" w14:textId="6E2746D8" w:rsidR="00461AB7" w:rsidRPr="00AB655A" w:rsidRDefault="001501E7" w:rsidP="00870881">
      <w:pPr>
        <w:spacing w:line="288" w:lineRule="auto"/>
        <w:jc w:val="both"/>
        <w:rPr>
          <w:rFonts w:ascii="Tahoma" w:hAnsi="Tahoma" w:cs="Tahoma"/>
          <w:sz w:val="22"/>
          <w:szCs w:val="22"/>
          <w:lang w:val="en-US"/>
        </w:rPr>
      </w:pPr>
      <w:r>
        <w:rPr>
          <w:noProof/>
          <w:lang w:val="en-US"/>
        </w:rPr>
        <w:drawing>
          <wp:anchor distT="0" distB="0" distL="114300" distR="114300" simplePos="0" relativeHeight="251667968" behindDoc="1" locked="0" layoutInCell="1" allowOverlap="1" wp14:anchorId="73D5AC13" wp14:editId="45DE2488">
            <wp:simplePos x="0" y="0"/>
            <wp:positionH relativeFrom="column">
              <wp:posOffset>-3810</wp:posOffset>
            </wp:positionH>
            <wp:positionV relativeFrom="paragraph">
              <wp:posOffset>635</wp:posOffset>
            </wp:positionV>
            <wp:extent cx="612648" cy="612648"/>
            <wp:effectExtent l="0" t="0" r="0" b="0"/>
            <wp:wrapTight wrapText="bothSides">
              <wp:wrapPolygon edited="0">
                <wp:start x="0" y="0"/>
                <wp:lineTo x="0" y="20838"/>
                <wp:lineTo x="20838" y="20838"/>
                <wp:lineTo x="20838" y="0"/>
                <wp:lineTo x="0" y="0"/>
              </wp:wrapPolygon>
            </wp:wrapTight>
            <wp:docPr id="3" name="Picture 3" descr="https://www1.undp.org/content/dam/undp/sdg/tiles/sdg-e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1.undp.org/content/dam/undp/sdg/tiles/sdg-en-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8"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780" w:rsidRPr="00AB655A">
        <w:rPr>
          <w:rFonts w:ascii="Tahoma" w:hAnsi="Tahoma" w:cs="Tahoma"/>
          <w:sz w:val="22"/>
          <w:szCs w:val="22"/>
          <w:lang w:val="en-US"/>
        </w:rPr>
        <w:t>Goal 5</w:t>
      </w:r>
      <w:r w:rsidR="00D62A30" w:rsidRPr="00AB655A">
        <w:rPr>
          <w:rFonts w:ascii="Tahoma" w:hAnsi="Tahoma" w:cs="Tahoma"/>
          <w:sz w:val="22"/>
          <w:szCs w:val="22"/>
          <w:lang w:val="en-US"/>
        </w:rPr>
        <w:t xml:space="preserve">, </w:t>
      </w:r>
      <w:r w:rsidR="00D62A30" w:rsidRPr="00AB655A">
        <w:rPr>
          <w:rFonts w:ascii="Tahoma" w:hAnsi="Tahoma" w:cs="Tahoma"/>
          <w:i/>
          <w:iCs/>
          <w:sz w:val="22"/>
          <w:szCs w:val="22"/>
          <w:lang w:val="en-US"/>
        </w:rPr>
        <w:t>Gender Equality,</w:t>
      </w:r>
      <w:r w:rsidR="0099148C" w:rsidRPr="00AB655A">
        <w:rPr>
          <w:rFonts w:ascii="Tahoma" w:hAnsi="Tahoma" w:cs="Tahoma"/>
          <w:sz w:val="22"/>
          <w:szCs w:val="22"/>
          <w:lang w:val="en-US"/>
        </w:rPr>
        <w:t xml:space="preserve"> </w:t>
      </w:r>
      <w:r w:rsidR="00D62A30" w:rsidRPr="00AB655A">
        <w:rPr>
          <w:rFonts w:ascii="Tahoma" w:hAnsi="Tahoma" w:cs="Tahoma"/>
          <w:sz w:val="22"/>
          <w:szCs w:val="22"/>
          <w:lang w:val="en-US"/>
        </w:rPr>
        <w:t>indicates that</w:t>
      </w:r>
      <w:r w:rsidR="009D35B0" w:rsidRPr="00AB655A">
        <w:rPr>
          <w:rFonts w:ascii="Tahoma" w:hAnsi="Tahoma" w:cs="Tahoma"/>
          <w:sz w:val="22"/>
          <w:szCs w:val="22"/>
          <w:lang w:val="en-US"/>
        </w:rPr>
        <w:t xml:space="preserve"> “</w:t>
      </w:r>
      <w:r w:rsidR="00D62A30" w:rsidRPr="00AB655A">
        <w:rPr>
          <w:rFonts w:ascii="Tahoma" w:hAnsi="Tahoma" w:cs="Tahoma"/>
          <w:sz w:val="22"/>
          <w:szCs w:val="22"/>
          <w:lang w:val="en-US"/>
        </w:rPr>
        <w:t xml:space="preserve">although there are more women than ever in the </w:t>
      </w:r>
      <w:proofErr w:type="spellStart"/>
      <w:r w:rsidR="00D62A30" w:rsidRPr="00AB655A">
        <w:rPr>
          <w:rFonts w:ascii="Tahoma" w:hAnsi="Tahoma" w:cs="Tahoma"/>
          <w:sz w:val="22"/>
          <w:szCs w:val="22"/>
          <w:lang w:val="en-US"/>
        </w:rPr>
        <w:t>labour</w:t>
      </w:r>
      <w:proofErr w:type="spellEnd"/>
      <w:r w:rsidR="00D62A30" w:rsidRPr="00AB655A">
        <w:rPr>
          <w:rFonts w:ascii="Tahoma" w:hAnsi="Tahoma" w:cs="Tahoma"/>
          <w:sz w:val="22"/>
          <w:szCs w:val="22"/>
          <w:lang w:val="en-US"/>
        </w:rPr>
        <w:t xml:space="preserve"> market, there are still large inequalities in some regions, with women systematically denied the same work rights as men. Sexual violence and exploitation, the unequal division of unpaid care and domestic work, and discrimination in public office all remain huge barriers.”</w:t>
      </w:r>
    </w:p>
    <w:p w14:paraId="0ACC4797" w14:textId="28412D98" w:rsidR="00FF2936" w:rsidRPr="00AB655A" w:rsidRDefault="001501E7" w:rsidP="0099148C">
      <w:pPr>
        <w:spacing w:line="288" w:lineRule="auto"/>
        <w:jc w:val="both"/>
        <w:rPr>
          <w:rFonts w:ascii="Tahoma" w:hAnsi="Tahoma" w:cs="Tahoma"/>
          <w:sz w:val="22"/>
          <w:szCs w:val="22"/>
          <w:lang w:val="en-US"/>
        </w:rPr>
      </w:pPr>
      <w:r w:rsidRPr="004A1ACC">
        <w:rPr>
          <w:rFonts w:ascii="Tahoma" w:hAnsi="Tahoma" w:cs="Tahoma"/>
          <w:noProof/>
          <w:sz w:val="22"/>
          <w:szCs w:val="22"/>
          <w:lang w:val="en-US"/>
        </w:rPr>
        <w:drawing>
          <wp:anchor distT="0" distB="0" distL="114300" distR="114300" simplePos="0" relativeHeight="251668992" behindDoc="1" locked="0" layoutInCell="1" allowOverlap="1" wp14:anchorId="3EC0B4C3" wp14:editId="6B89B9D1">
            <wp:simplePos x="0" y="0"/>
            <wp:positionH relativeFrom="column">
              <wp:posOffset>-3810</wp:posOffset>
            </wp:positionH>
            <wp:positionV relativeFrom="paragraph">
              <wp:posOffset>-4445</wp:posOffset>
            </wp:positionV>
            <wp:extent cx="630936" cy="630936"/>
            <wp:effectExtent l="0" t="0" r="0" b="0"/>
            <wp:wrapTight wrapText="bothSides">
              <wp:wrapPolygon edited="0">
                <wp:start x="0" y="0"/>
                <wp:lineTo x="0" y="20882"/>
                <wp:lineTo x="20882" y="20882"/>
                <wp:lineTo x="20882" y="0"/>
                <wp:lineTo x="0" y="0"/>
              </wp:wrapPolygon>
            </wp:wrapTight>
            <wp:docPr id="6" name="Picture 6" descr="https://www1.undp.org/content/dam/undp/sdg/tiles/sdg-en-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1.undp.org/content/dam/undp/sdg/tiles/sdg-en-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43045AF1" w:rsidRPr="004A1ACC">
        <w:rPr>
          <w:rFonts w:ascii="Tahoma" w:hAnsi="Tahoma" w:cs="Tahoma"/>
          <w:sz w:val="22"/>
          <w:szCs w:val="22"/>
          <w:lang w:val="en-US"/>
        </w:rPr>
        <w:t xml:space="preserve">The world is facing </w:t>
      </w:r>
      <w:r w:rsidR="00D80A43">
        <w:rPr>
          <w:rFonts w:ascii="Tahoma" w:hAnsi="Tahoma" w:cs="Tahoma"/>
          <w:sz w:val="22"/>
          <w:szCs w:val="22"/>
          <w:lang w:val="en-US"/>
        </w:rPr>
        <w:t>rising</w:t>
      </w:r>
      <w:r w:rsidR="43045AF1" w:rsidRPr="004A1ACC">
        <w:rPr>
          <w:rFonts w:ascii="Tahoma" w:hAnsi="Tahoma" w:cs="Tahoma"/>
          <w:sz w:val="22"/>
          <w:szCs w:val="22"/>
          <w:lang w:val="en-US"/>
        </w:rPr>
        <w:t xml:space="preserve"> inequalities</w:t>
      </w:r>
      <w:r w:rsidR="43045AF1" w:rsidRPr="004A1ACC">
        <w:rPr>
          <w:rFonts w:ascii="Tahoma" w:hAnsi="Tahoma" w:cs="Tahoma"/>
          <w:sz w:val="22"/>
          <w:szCs w:val="22"/>
          <w:lang w:val="en-US"/>
        </w:rPr>
        <w:t xml:space="preserve"> and a shortage of jobs to absorb the labor force. </w:t>
      </w:r>
      <w:proofErr w:type="gramStart"/>
      <w:r w:rsidR="43045AF1" w:rsidRPr="004A1ACC">
        <w:rPr>
          <w:rFonts w:ascii="Tahoma" w:hAnsi="Tahoma" w:cs="Tahoma"/>
          <w:sz w:val="22"/>
          <w:szCs w:val="22"/>
          <w:lang w:val="en-US"/>
        </w:rPr>
        <w:t>In light of</w:t>
      </w:r>
      <w:proofErr w:type="gramEnd"/>
      <w:r w:rsidR="43045AF1" w:rsidRPr="004A1ACC">
        <w:rPr>
          <w:rFonts w:ascii="Tahoma" w:hAnsi="Tahoma" w:cs="Tahoma"/>
          <w:sz w:val="22"/>
          <w:szCs w:val="22"/>
          <w:lang w:val="en-US"/>
        </w:rPr>
        <w:t xml:space="preserve"> this, Goal 8, </w:t>
      </w:r>
      <w:r w:rsidR="43045AF1" w:rsidRPr="2425A842">
        <w:rPr>
          <w:rFonts w:ascii="Tahoma" w:hAnsi="Tahoma" w:cs="Tahoma"/>
          <w:i/>
          <w:iCs/>
          <w:sz w:val="22"/>
          <w:szCs w:val="22"/>
          <w:lang w:val="en-US"/>
        </w:rPr>
        <w:t>Decent Work and Economic Growth</w:t>
      </w:r>
      <w:r w:rsidR="43045AF1" w:rsidRPr="004A1ACC">
        <w:rPr>
          <w:rFonts w:ascii="Tahoma" w:hAnsi="Tahoma" w:cs="Tahoma"/>
          <w:sz w:val="22"/>
          <w:szCs w:val="22"/>
          <w:lang w:val="en-US"/>
        </w:rPr>
        <w:t xml:space="preserve"> warns that slow economic growth will only exacerbate these two aspects. </w:t>
      </w:r>
      <w:r w:rsidR="43045AF1" w:rsidRPr="004A1ACC">
        <w:rPr>
          <w:rFonts w:ascii="Tahoma" w:hAnsi="Tahoma" w:cs="Tahoma"/>
          <w:sz w:val="22"/>
          <w:szCs w:val="22"/>
          <w:lang w:val="en-US"/>
        </w:rPr>
        <w:t>Moreover</w:t>
      </w:r>
      <w:r w:rsidR="43045AF1" w:rsidRPr="004A1ACC">
        <w:rPr>
          <w:rFonts w:ascii="Tahoma" w:hAnsi="Tahoma" w:cs="Tahoma"/>
          <w:sz w:val="22"/>
          <w:szCs w:val="22"/>
          <w:lang w:val="en-US"/>
        </w:rPr>
        <w:t xml:space="preserve">, the goal is </w:t>
      </w:r>
      <w:r w:rsidR="0D510197" w:rsidRPr="004A1ACC">
        <w:rPr>
          <w:rFonts w:ascii="Tahoma" w:hAnsi="Tahoma" w:cs="Tahoma"/>
          <w:sz w:val="22"/>
          <w:szCs w:val="22"/>
          <w:lang w:val="en-US"/>
        </w:rPr>
        <w:t>to achieve full and productive employment, and decent work for all women and men by</w:t>
      </w:r>
      <w:r w:rsidR="0D510197" w:rsidRPr="00AB655A">
        <w:rPr>
          <w:rFonts w:ascii="Tahoma" w:hAnsi="Tahoma" w:cs="Tahoma"/>
          <w:sz w:val="22"/>
          <w:szCs w:val="22"/>
          <w:lang w:val="en-US"/>
        </w:rPr>
        <w:t xml:space="preserve"> 2030. </w:t>
      </w:r>
    </w:p>
    <w:p w14:paraId="0F5DAC54" w14:textId="0E391F96" w:rsidR="0099148C" w:rsidRPr="00AB655A" w:rsidRDefault="001501E7" w:rsidP="0099148C">
      <w:pPr>
        <w:spacing w:line="288" w:lineRule="auto"/>
        <w:jc w:val="both"/>
        <w:rPr>
          <w:rFonts w:ascii="Tahoma" w:hAnsi="Tahoma" w:cs="Tahoma"/>
          <w:sz w:val="22"/>
          <w:szCs w:val="22"/>
          <w:lang w:val="en-US"/>
        </w:rPr>
      </w:pPr>
      <w:r>
        <w:rPr>
          <w:noProof/>
          <w:lang w:val="en-US"/>
        </w:rPr>
        <w:drawing>
          <wp:anchor distT="0" distB="0" distL="114300" distR="114300" simplePos="0" relativeHeight="251670016" behindDoc="1" locked="0" layoutInCell="1" allowOverlap="1" wp14:anchorId="582003D4" wp14:editId="10D3B0BC">
            <wp:simplePos x="0" y="0"/>
            <wp:positionH relativeFrom="column">
              <wp:posOffset>-3810</wp:posOffset>
            </wp:positionH>
            <wp:positionV relativeFrom="paragraph">
              <wp:posOffset>-2540</wp:posOffset>
            </wp:positionV>
            <wp:extent cx="640080" cy="640080"/>
            <wp:effectExtent l="0" t="0" r="7620" b="7620"/>
            <wp:wrapTight wrapText="bothSides">
              <wp:wrapPolygon edited="0">
                <wp:start x="0" y="0"/>
                <wp:lineTo x="0" y="21214"/>
                <wp:lineTo x="21214" y="21214"/>
                <wp:lineTo x="21214" y="0"/>
                <wp:lineTo x="0" y="0"/>
              </wp:wrapPolygon>
            </wp:wrapTight>
            <wp:docPr id="7" name="Picture 7" descr="10. Reduce inequalities - 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Reduce inequalities - O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7540D13" w:rsidRPr="00AB655A">
        <w:rPr>
          <w:rFonts w:ascii="Tahoma" w:hAnsi="Tahoma" w:cs="Tahoma"/>
          <w:sz w:val="22"/>
          <w:szCs w:val="22"/>
          <w:lang w:val="en-US"/>
        </w:rPr>
        <w:t xml:space="preserve">At the same time, SDG 10, </w:t>
      </w:r>
      <w:r w:rsidR="77540D13" w:rsidRPr="2425A842">
        <w:rPr>
          <w:rFonts w:ascii="Tahoma" w:hAnsi="Tahoma" w:cs="Tahoma"/>
          <w:i/>
          <w:iCs/>
          <w:sz w:val="22"/>
          <w:szCs w:val="22"/>
          <w:lang w:val="en-US"/>
        </w:rPr>
        <w:t xml:space="preserve">Reduce Inequalities, </w:t>
      </w:r>
      <w:r w:rsidR="77540D13" w:rsidRPr="00AB655A">
        <w:rPr>
          <w:rFonts w:ascii="Tahoma" w:hAnsi="Tahoma" w:cs="Tahoma"/>
          <w:sz w:val="22"/>
          <w:szCs w:val="22"/>
          <w:lang w:val="en-US"/>
        </w:rPr>
        <w:t xml:space="preserve">calls stakeholders to halt the increase of income inequality </w:t>
      </w:r>
      <w:r w:rsidR="77540D13" w:rsidRPr="00AB655A">
        <w:rPr>
          <w:rFonts w:ascii="Tahoma" w:hAnsi="Tahoma" w:cs="Tahoma"/>
          <w:sz w:val="22"/>
          <w:szCs w:val="22"/>
          <w:lang w:val="en-US"/>
        </w:rPr>
        <w:t xml:space="preserve">at the global level </w:t>
      </w:r>
      <w:r w:rsidR="77540D13" w:rsidRPr="00AB655A">
        <w:rPr>
          <w:rFonts w:ascii="Tahoma" w:hAnsi="Tahoma" w:cs="Tahoma"/>
          <w:sz w:val="22"/>
          <w:szCs w:val="22"/>
          <w:lang w:val="en-US"/>
        </w:rPr>
        <w:t>by adopting “sound policies to empower lower</w:t>
      </w:r>
      <w:r w:rsidR="77540D13" w:rsidRPr="00AB655A">
        <w:rPr>
          <w:rFonts w:ascii="Tahoma" w:hAnsi="Tahoma" w:cs="Tahoma"/>
          <w:sz w:val="22"/>
          <w:szCs w:val="22"/>
          <w:lang w:val="en-US"/>
        </w:rPr>
        <w:t>-</w:t>
      </w:r>
      <w:r w:rsidR="77540D13" w:rsidRPr="00AB655A">
        <w:rPr>
          <w:rFonts w:ascii="Tahoma" w:hAnsi="Tahoma" w:cs="Tahoma"/>
          <w:sz w:val="22"/>
          <w:szCs w:val="22"/>
          <w:lang w:val="en-US"/>
        </w:rPr>
        <w:t xml:space="preserve">income earners, and </w:t>
      </w:r>
      <w:r w:rsidR="46DA5BDE" w:rsidRPr="00AB655A">
        <w:rPr>
          <w:rFonts w:ascii="Tahoma" w:hAnsi="Tahoma" w:cs="Tahoma"/>
          <w:sz w:val="22"/>
          <w:szCs w:val="22"/>
          <w:lang w:val="en-US"/>
        </w:rPr>
        <w:t>promote</w:t>
      </w:r>
      <w:r w:rsidR="77540D13" w:rsidRPr="00AB655A">
        <w:rPr>
          <w:rFonts w:ascii="Tahoma" w:hAnsi="Tahoma" w:cs="Tahoma"/>
          <w:sz w:val="22"/>
          <w:szCs w:val="22"/>
          <w:lang w:val="en-US"/>
        </w:rPr>
        <w:t xml:space="preserve"> economic inclusion of all regardless of sex, race, or ethnicity”.</w:t>
      </w:r>
    </w:p>
    <w:p w14:paraId="10EA6927" w14:textId="5B6C93A7" w:rsidR="00C37EBC" w:rsidRDefault="1D2D05A1" w:rsidP="0099148C">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Likewise, the Gender Units share a broader theoretical framework that provides an understanding of </w:t>
      </w:r>
      <w:r w:rsidR="70C10476" w:rsidRPr="2425A842">
        <w:rPr>
          <w:rFonts w:ascii="Tahoma" w:hAnsi="Tahoma" w:cs="Tahoma"/>
          <w:sz w:val="22"/>
          <w:szCs w:val="22"/>
          <w:lang w:val="en-US"/>
        </w:rPr>
        <w:t xml:space="preserve">the challenges resulting from the intersection of marginalized identities. Subsequently, including intersectionality as a tool for critical </w:t>
      </w:r>
      <w:r w:rsidR="003F53F3" w:rsidRPr="2425A842">
        <w:rPr>
          <w:rFonts w:ascii="Tahoma" w:hAnsi="Tahoma" w:cs="Tahoma"/>
          <w:sz w:val="22"/>
          <w:szCs w:val="22"/>
          <w:lang w:val="en-US"/>
        </w:rPr>
        <w:t>analysis</w:t>
      </w:r>
      <w:r w:rsidR="70C10476" w:rsidRPr="2425A842">
        <w:rPr>
          <w:rFonts w:ascii="Tahoma" w:hAnsi="Tahoma" w:cs="Tahoma"/>
          <w:sz w:val="22"/>
          <w:szCs w:val="22"/>
          <w:lang w:val="en-US"/>
        </w:rPr>
        <w:t xml:space="preserve"> is crucial for </w:t>
      </w:r>
      <w:r w:rsidR="00AE03AD">
        <w:rPr>
          <w:rFonts w:ascii="Tahoma" w:hAnsi="Tahoma" w:cs="Tahoma"/>
          <w:sz w:val="22"/>
          <w:szCs w:val="22"/>
          <w:lang w:val="en-US"/>
        </w:rPr>
        <w:t xml:space="preserve">assessing and </w:t>
      </w:r>
      <w:r w:rsidR="70C10476" w:rsidRPr="2425A842">
        <w:rPr>
          <w:rFonts w:ascii="Tahoma" w:hAnsi="Tahoma" w:cs="Tahoma"/>
          <w:sz w:val="22"/>
          <w:szCs w:val="22"/>
          <w:lang w:val="en-US"/>
        </w:rPr>
        <w:t>deve</w:t>
      </w:r>
      <w:r w:rsidR="00AE03AD">
        <w:rPr>
          <w:rFonts w:ascii="Tahoma" w:hAnsi="Tahoma" w:cs="Tahoma"/>
          <w:sz w:val="22"/>
          <w:szCs w:val="22"/>
          <w:lang w:val="en-US"/>
        </w:rPr>
        <w:t>loping</w:t>
      </w:r>
      <w:r w:rsidR="70C10476" w:rsidRPr="2425A842">
        <w:rPr>
          <w:rFonts w:ascii="Tahoma" w:hAnsi="Tahoma" w:cs="Tahoma"/>
          <w:sz w:val="22"/>
          <w:szCs w:val="22"/>
          <w:lang w:val="en-US"/>
        </w:rPr>
        <w:t xml:space="preserve"> policies since it addresses multiple discriminations. This approach sheds light on how </w:t>
      </w:r>
      <w:r w:rsidR="00AE03AD" w:rsidRPr="2425A842">
        <w:rPr>
          <w:rFonts w:ascii="Tahoma" w:hAnsi="Tahoma" w:cs="Tahoma"/>
          <w:sz w:val="22"/>
          <w:szCs w:val="22"/>
          <w:lang w:val="en-US"/>
        </w:rPr>
        <w:t>different</w:t>
      </w:r>
      <w:r w:rsidR="70C10476" w:rsidRPr="2425A842">
        <w:rPr>
          <w:rFonts w:ascii="Tahoma" w:hAnsi="Tahoma" w:cs="Tahoma"/>
          <w:sz w:val="22"/>
          <w:szCs w:val="22"/>
          <w:lang w:val="en-US"/>
        </w:rPr>
        <w:t xml:space="preserve"> </w:t>
      </w:r>
      <w:r w:rsidR="00AE03AD" w:rsidRPr="2425A842">
        <w:rPr>
          <w:rFonts w:ascii="Tahoma" w:hAnsi="Tahoma" w:cs="Tahoma"/>
          <w:sz w:val="22"/>
          <w:szCs w:val="22"/>
          <w:lang w:val="en-US"/>
        </w:rPr>
        <w:t>sets of</w:t>
      </w:r>
      <w:r w:rsidR="70C10476" w:rsidRPr="2425A842">
        <w:rPr>
          <w:rFonts w:ascii="Tahoma" w:hAnsi="Tahoma" w:cs="Tahoma"/>
          <w:sz w:val="22"/>
          <w:szCs w:val="22"/>
          <w:lang w:val="en-US"/>
        </w:rPr>
        <w:t xml:space="preserve"> identities affect access to rights and opportunities.</w:t>
      </w:r>
    </w:p>
    <w:p w14:paraId="22FDEF23" w14:textId="77777777" w:rsidR="00440CE2" w:rsidRPr="00FD2262" w:rsidRDefault="00440CE2" w:rsidP="0099148C">
      <w:pPr>
        <w:spacing w:line="288" w:lineRule="auto"/>
        <w:jc w:val="both"/>
        <w:rPr>
          <w:rFonts w:ascii="Tahoma" w:hAnsi="Tahoma" w:cs="Tahoma"/>
          <w:sz w:val="22"/>
          <w:szCs w:val="22"/>
          <w:lang w:val="en-US"/>
        </w:rPr>
      </w:pPr>
    </w:p>
    <w:p w14:paraId="5FCD9ED8" w14:textId="093FED81" w:rsidR="00C37EBC" w:rsidRPr="00AB655A" w:rsidRDefault="2588AD93" w:rsidP="00EB2D0E">
      <w:pPr>
        <w:pStyle w:val="Heading1"/>
        <w:numPr>
          <w:ilvl w:val="0"/>
          <w:numId w:val="3"/>
        </w:numPr>
        <w:rPr>
          <w:lang w:val="en-US"/>
        </w:rPr>
      </w:pPr>
      <w:r w:rsidRPr="2425A842">
        <w:rPr>
          <w:lang w:val="en-US"/>
        </w:rPr>
        <w:t>institutionalizing gender: the different approaches</w:t>
      </w:r>
    </w:p>
    <w:p w14:paraId="22D1DA5A" w14:textId="77777777" w:rsidR="00DF0CAB" w:rsidRPr="00AB655A" w:rsidRDefault="00DF0CAB" w:rsidP="00870881">
      <w:pPr>
        <w:spacing w:line="288" w:lineRule="auto"/>
        <w:jc w:val="both"/>
        <w:rPr>
          <w:rFonts w:ascii="Tahoma" w:hAnsi="Tahoma" w:cs="Tahoma"/>
          <w:sz w:val="22"/>
          <w:szCs w:val="22"/>
          <w:lang w:val="en-US"/>
        </w:rPr>
      </w:pPr>
    </w:p>
    <w:p w14:paraId="02E65E37" w14:textId="7487108D" w:rsidR="00C52443" w:rsidRPr="00AB655A" w:rsidRDefault="2588AD93" w:rsidP="00870881">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International regulations and the continuous efforts of women’s movements since the 1990s </w:t>
      </w:r>
      <w:r w:rsidR="28DB0753" w:rsidRPr="2425A842">
        <w:rPr>
          <w:rFonts w:ascii="Tahoma" w:hAnsi="Tahoma" w:cs="Tahoma"/>
          <w:sz w:val="22"/>
          <w:szCs w:val="22"/>
          <w:lang w:val="en-US"/>
        </w:rPr>
        <w:t xml:space="preserve">enabled </w:t>
      </w:r>
      <w:r w:rsidRPr="2425A842">
        <w:rPr>
          <w:rFonts w:ascii="Tahoma" w:hAnsi="Tahoma" w:cs="Tahoma"/>
          <w:sz w:val="22"/>
          <w:szCs w:val="22"/>
          <w:lang w:val="en-US"/>
        </w:rPr>
        <w:t xml:space="preserve">the integration of a gender approach in the work of the States in the region, thus permeating the political will of the governments. Every country has created mechanisms for women’s advancement, whether </w:t>
      </w:r>
      <w:r w:rsidRPr="2425A842">
        <w:rPr>
          <w:rFonts w:ascii="Tahoma" w:hAnsi="Tahoma" w:cs="Tahoma"/>
          <w:sz w:val="22"/>
          <w:szCs w:val="22"/>
          <w:lang w:val="en-US"/>
        </w:rPr>
        <w:t>these are</w:t>
      </w:r>
      <w:r w:rsidRPr="2425A842">
        <w:rPr>
          <w:rFonts w:ascii="Tahoma" w:hAnsi="Tahoma" w:cs="Tahoma"/>
          <w:sz w:val="22"/>
          <w:szCs w:val="22"/>
          <w:lang w:val="en-US"/>
        </w:rPr>
        <w:t xml:space="preserve"> women’s ministries or offices. The degree of </w:t>
      </w:r>
      <w:proofErr w:type="spellStart"/>
      <w:r w:rsidRPr="2425A842">
        <w:rPr>
          <w:rFonts w:ascii="Tahoma" w:hAnsi="Tahoma" w:cs="Tahoma"/>
          <w:sz w:val="22"/>
          <w:szCs w:val="22"/>
          <w:lang w:val="en-US"/>
        </w:rPr>
        <w:t>institutionality</w:t>
      </w:r>
      <w:proofErr w:type="spellEnd"/>
      <w:r w:rsidRPr="2425A842">
        <w:rPr>
          <w:rFonts w:ascii="Tahoma" w:hAnsi="Tahoma" w:cs="Tahoma"/>
          <w:sz w:val="22"/>
          <w:szCs w:val="22"/>
          <w:lang w:val="en-US"/>
        </w:rPr>
        <w:t xml:space="preserve"> of these entities differs; however, they all promote mainstreaming a gender approach in public institutions as a strategy to include this perspective in the different levels and stages of the development, execution, and evaluation of public policies to achieve significant equality.</w:t>
      </w:r>
    </w:p>
    <w:p w14:paraId="23B043BC" w14:textId="61F87138" w:rsidR="00F349D4" w:rsidRPr="00AB655A" w:rsidRDefault="2588AD93" w:rsidP="00F349D4">
      <w:pPr>
        <w:spacing w:line="288" w:lineRule="auto"/>
        <w:jc w:val="both"/>
        <w:rPr>
          <w:rFonts w:ascii="Tahoma" w:hAnsi="Tahoma" w:cs="Tahoma"/>
          <w:sz w:val="22"/>
          <w:szCs w:val="22"/>
          <w:lang w:val="en-US"/>
        </w:rPr>
      </w:pPr>
      <w:r w:rsidRPr="2425A842">
        <w:rPr>
          <w:rFonts w:ascii="Tahoma" w:hAnsi="Tahoma" w:cs="Tahoma"/>
          <w:sz w:val="22"/>
          <w:szCs w:val="22"/>
          <w:lang w:val="en-US"/>
        </w:rPr>
        <w:t>Mainstreaming gender in an institution</w:t>
      </w:r>
      <w:r w:rsidR="3CA19A29" w:rsidRPr="2425A842">
        <w:rPr>
          <w:rFonts w:ascii="Tahoma" w:hAnsi="Tahoma" w:cs="Tahoma"/>
          <w:sz w:val="22"/>
          <w:szCs w:val="22"/>
          <w:lang w:val="en-US"/>
        </w:rPr>
        <w:t>’</w:t>
      </w:r>
      <w:r w:rsidRPr="2425A842">
        <w:rPr>
          <w:rFonts w:ascii="Tahoma" w:hAnsi="Tahoma" w:cs="Tahoma"/>
          <w:sz w:val="22"/>
          <w:szCs w:val="22"/>
          <w:lang w:val="en-US"/>
        </w:rPr>
        <w:t>s structures and actions requires an appropriate institutional structure. In other words, the institutionalization of a gender approach that makes this a “common” practice that permeates the entire institution. For thi</w:t>
      </w:r>
      <w:r w:rsidR="3CA19A29" w:rsidRPr="2425A842">
        <w:rPr>
          <w:rFonts w:ascii="Tahoma" w:hAnsi="Tahoma" w:cs="Tahoma"/>
          <w:sz w:val="22"/>
          <w:szCs w:val="22"/>
          <w:lang w:val="en-US"/>
        </w:rPr>
        <w:t>s to occur, it is important to promote changes by incorporating the gender perspective in the institutions’ policies, programs, and projects. But it goes one step further: this approach must also be integrated in</w:t>
      </w:r>
      <w:r w:rsidR="3DE7CF41" w:rsidRPr="2425A842">
        <w:rPr>
          <w:rFonts w:ascii="Tahoma" w:hAnsi="Tahoma" w:cs="Tahoma"/>
          <w:sz w:val="22"/>
          <w:szCs w:val="22"/>
          <w:lang w:val="en-US"/>
        </w:rPr>
        <w:t>to</w:t>
      </w:r>
      <w:r w:rsidR="3CA19A29" w:rsidRPr="2425A842">
        <w:rPr>
          <w:rFonts w:ascii="Tahoma" w:hAnsi="Tahoma" w:cs="Tahoma"/>
          <w:sz w:val="22"/>
          <w:szCs w:val="22"/>
          <w:lang w:val="en-US"/>
        </w:rPr>
        <w:t xml:space="preserve"> the institution’s organizational culture, everyday social interactions, internal and external communications, and the services provided to citizens.</w:t>
      </w:r>
    </w:p>
    <w:p w14:paraId="3E86E1BC" w14:textId="092D6CEF" w:rsidR="00CF43E9" w:rsidRPr="00AB655A" w:rsidRDefault="00F349D4" w:rsidP="00F349D4">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These intentions have led to the creation of various types of gender entities within the institutions. The different institutional approaches used </w:t>
      </w:r>
      <w:r w:rsidR="00517FC9" w:rsidRPr="00AB655A">
        <w:rPr>
          <w:rFonts w:ascii="Tahoma" w:hAnsi="Tahoma" w:cs="Tahoma"/>
          <w:sz w:val="22"/>
          <w:szCs w:val="22"/>
          <w:lang w:val="en-US"/>
        </w:rPr>
        <w:t>thus far</w:t>
      </w:r>
      <w:r w:rsidRPr="00AB655A">
        <w:rPr>
          <w:rFonts w:ascii="Tahoma" w:hAnsi="Tahoma" w:cs="Tahoma"/>
          <w:sz w:val="22"/>
          <w:szCs w:val="22"/>
          <w:lang w:val="en-US"/>
        </w:rPr>
        <w:t xml:space="preserve"> vary; these include gender equity and/or equality units, specialized departments, focal points,</w:t>
      </w:r>
      <w:r w:rsidR="005D0E8F" w:rsidRPr="00AB655A">
        <w:rPr>
          <w:rFonts w:ascii="Tahoma" w:hAnsi="Tahoma" w:cs="Tahoma"/>
          <w:sz w:val="22"/>
          <w:szCs w:val="22"/>
          <w:lang w:val="en-US"/>
        </w:rPr>
        <w:t xml:space="preserve"> and</w:t>
      </w:r>
      <w:r w:rsidRPr="00AB655A">
        <w:rPr>
          <w:rFonts w:ascii="Tahoma" w:hAnsi="Tahoma" w:cs="Tahoma"/>
          <w:sz w:val="22"/>
          <w:szCs w:val="22"/>
          <w:lang w:val="en-US"/>
        </w:rPr>
        <w:t xml:space="preserve"> gender committees or commissions. The goal of these is to coordinate and monitor the actions of the different units and entities to establish </w:t>
      </w:r>
      <w:r w:rsidR="005D0E8F" w:rsidRPr="00AB655A">
        <w:rPr>
          <w:rFonts w:ascii="Tahoma" w:hAnsi="Tahoma" w:cs="Tahoma"/>
          <w:sz w:val="22"/>
          <w:szCs w:val="22"/>
          <w:lang w:val="en-US"/>
        </w:rPr>
        <w:t xml:space="preserve">internal and external </w:t>
      </w:r>
      <w:r w:rsidRPr="00AB655A">
        <w:rPr>
          <w:rFonts w:ascii="Tahoma" w:hAnsi="Tahoma" w:cs="Tahoma"/>
          <w:sz w:val="22"/>
          <w:szCs w:val="22"/>
          <w:lang w:val="en-US"/>
        </w:rPr>
        <w:t>gender equalit</w:t>
      </w:r>
      <w:r w:rsidR="005D0E8F" w:rsidRPr="00AB655A">
        <w:rPr>
          <w:rFonts w:ascii="Tahoma" w:hAnsi="Tahoma" w:cs="Tahoma"/>
          <w:sz w:val="22"/>
          <w:szCs w:val="22"/>
          <w:lang w:val="en-US"/>
        </w:rPr>
        <w:t>y and equity actions. The hierarchical position of these agencies differs depending on the type of institution they belong to—Mini</w:t>
      </w:r>
      <w:r w:rsidR="006A0DC1" w:rsidRPr="00AB655A">
        <w:rPr>
          <w:rFonts w:ascii="Tahoma" w:hAnsi="Tahoma" w:cs="Tahoma"/>
          <w:sz w:val="22"/>
          <w:szCs w:val="22"/>
          <w:lang w:val="en-US"/>
        </w:rPr>
        <w:t>s</w:t>
      </w:r>
      <w:r w:rsidR="005D0E8F" w:rsidRPr="00AB655A">
        <w:rPr>
          <w:rFonts w:ascii="Tahoma" w:hAnsi="Tahoma" w:cs="Tahoma"/>
          <w:sz w:val="22"/>
          <w:szCs w:val="22"/>
          <w:lang w:val="en-US"/>
        </w:rPr>
        <w:t>try, Sub-Secretariat, or Department—and whether they have the necessary professional staff and resources.</w:t>
      </w:r>
    </w:p>
    <w:p w14:paraId="6A4DF580" w14:textId="131C49E9" w:rsidR="00D30C53" w:rsidRPr="00AB655A" w:rsidRDefault="21A675AF" w:rsidP="00D30C53">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Institutionalizing gender is a necessary and complementary step to mainstream a gender equality approach in every State policy, program, and project. This, however, has not been and is not an easy process. Fortunately, </w:t>
      </w:r>
      <w:proofErr w:type="gramStart"/>
      <w:r w:rsidRPr="2425A842">
        <w:rPr>
          <w:rFonts w:ascii="Tahoma" w:hAnsi="Tahoma" w:cs="Tahoma"/>
          <w:sz w:val="22"/>
          <w:szCs w:val="22"/>
          <w:lang w:val="en-US"/>
        </w:rPr>
        <w:t>the majority of</w:t>
      </w:r>
      <w:proofErr w:type="gramEnd"/>
      <w:r w:rsidRPr="2425A842">
        <w:rPr>
          <w:rFonts w:ascii="Tahoma" w:hAnsi="Tahoma" w:cs="Tahoma"/>
          <w:sz w:val="22"/>
          <w:szCs w:val="22"/>
          <w:lang w:val="en-US"/>
        </w:rPr>
        <w:t xml:space="preserve"> States in the region have some type of agency that addresses the issue in every sector. In this sense, the Ministries of Labor have </w:t>
      </w:r>
      <w:r w:rsidR="355BAA18" w:rsidRPr="2425A842">
        <w:rPr>
          <w:rFonts w:ascii="Tahoma" w:hAnsi="Tahoma" w:cs="Tahoma"/>
          <w:sz w:val="22"/>
          <w:szCs w:val="22"/>
          <w:lang w:val="en-US"/>
        </w:rPr>
        <w:t>played</w:t>
      </w:r>
      <w:r w:rsidRPr="2425A842">
        <w:rPr>
          <w:rFonts w:ascii="Tahoma" w:hAnsi="Tahoma" w:cs="Tahoma"/>
          <w:sz w:val="22"/>
          <w:szCs w:val="22"/>
          <w:lang w:val="en-US"/>
        </w:rPr>
        <w:t xml:space="preserve"> a key role in th</w:t>
      </w:r>
      <w:r w:rsidRPr="2425A842">
        <w:rPr>
          <w:rFonts w:ascii="Tahoma" w:hAnsi="Tahoma" w:cs="Tahoma"/>
          <w:sz w:val="22"/>
          <w:szCs w:val="22"/>
          <w:lang w:val="en-US"/>
        </w:rPr>
        <w:t>e</w:t>
      </w:r>
      <w:r w:rsidRPr="2425A842">
        <w:rPr>
          <w:rFonts w:ascii="Tahoma" w:hAnsi="Tahoma" w:cs="Tahoma"/>
          <w:sz w:val="22"/>
          <w:szCs w:val="22"/>
          <w:lang w:val="en-US"/>
        </w:rPr>
        <w:t xml:space="preserve"> process.</w:t>
      </w:r>
    </w:p>
    <w:p w14:paraId="180F8179" w14:textId="59A8C522" w:rsidR="00B114BD" w:rsidRPr="00AB655A" w:rsidRDefault="00BA159E" w:rsidP="00D9477C">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w:t>
      </w:r>
      <w:proofErr w:type="gramStart"/>
      <w:r w:rsidR="00F022AD">
        <w:rPr>
          <w:rFonts w:ascii="Tahoma" w:hAnsi="Tahoma" w:cs="Tahoma"/>
          <w:sz w:val="22"/>
          <w:szCs w:val="22"/>
          <w:lang w:val="en-US"/>
        </w:rPr>
        <w:t xml:space="preserve">aforementioned </w:t>
      </w:r>
      <w:r w:rsidRPr="00AB655A">
        <w:rPr>
          <w:rFonts w:ascii="Tahoma" w:hAnsi="Tahoma" w:cs="Tahoma"/>
          <w:sz w:val="22"/>
          <w:szCs w:val="22"/>
          <w:lang w:val="en-US"/>
        </w:rPr>
        <w:t>2009</w:t>
      </w:r>
      <w:proofErr w:type="gramEnd"/>
      <w:r w:rsidRPr="00AB655A">
        <w:rPr>
          <w:rFonts w:ascii="Tahoma" w:hAnsi="Tahoma" w:cs="Tahoma"/>
          <w:sz w:val="22"/>
          <w:szCs w:val="22"/>
          <w:lang w:val="en-US"/>
        </w:rPr>
        <w:t xml:space="preserve"> study, “</w:t>
      </w:r>
      <w:r w:rsidR="00D9477C" w:rsidRPr="00AB655A">
        <w:rPr>
          <w:rFonts w:ascii="Tahoma" w:hAnsi="Tahoma" w:cs="Tahoma"/>
          <w:sz w:val="22"/>
          <w:szCs w:val="22"/>
          <w:lang w:val="en-US"/>
        </w:rPr>
        <w:t>The Institutionalization of a Gender Approach</w:t>
      </w:r>
      <w:r w:rsidR="00965EDC" w:rsidRPr="00AB655A">
        <w:rPr>
          <w:rFonts w:ascii="Tahoma" w:hAnsi="Tahoma" w:cs="Tahoma"/>
          <w:sz w:val="22"/>
          <w:szCs w:val="22"/>
          <w:lang w:val="en-US"/>
        </w:rPr>
        <w:t xml:space="preserve"> </w:t>
      </w:r>
      <w:r w:rsidR="00D9477C" w:rsidRPr="00AB655A">
        <w:rPr>
          <w:rFonts w:ascii="Tahoma" w:hAnsi="Tahoma" w:cs="Tahoma"/>
          <w:sz w:val="22"/>
          <w:szCs w:val="22"/>
          <w:lang w:val="en-US"/>
        </w:rPr>
        <w:t>in the Ministries of Labor of the Americas</w:t>
      </w:r>
      <w:r w:rsidR="00965EDC" w:rsidRPr="00AB655A">
        <w:rPr>
          <w:rFonts w:ascii="Tahoma" w:hAnsi="Tahoma" w:cs="Tahoma"/>
          <w:sz w:val="22"/>
          <w:szCs w:val="22"/>
          <w:lang w:val="en-US"/>
        </w:rPr>
        <w:t>”,</w:t>
      </w:r>
      <w:r w:rsidR="00D9477C" w:rsidRPr="00AB655A">
        <w:rPr>
          <w:rFonts w:ascii="Tahoma" w:hAnsi="Tahoma" w:cs="Tahoma"/>
          <w:sz w:val="22"/>
          <w:szCs w:val="22"/>
          <w:lang w:val="en-US"/>
        </w:rPr>
        <w:t xml:space="preserve"> </w:t>
      </w:r>
      <w:r w:rsidRPr="00AB655A">
        <w:rPr>
          <w:rFonts w:ascii="Tahoma" w:hAnsi="Tahoma" w:cs="Tahoma"/>
          <w:sz w:val="22"/>
          <w:szCs w:val="22"/>
          <w:lang w:val="en-US"/>
        </w:rPr>
        <w:t xml:space="preserve">identified the existing mechanisms to mainstream a gender equality approach in the Ministries of Labor. The study also concluded that </w:t>
      </w:r>
      <w:proofErr w:type="gramStart"/>
      <w:r w:rsidRPr="00AB655A">
        <w:rPr>
          <w:rFonts w:ascii="Tahoma" w:hAnsi="Tahoma" w:cs="Tahoma"/>
          <w:sz w:val="22"/>
          <w:szCs w:val="22"/>
          <w:lang w:val="en-US"/>
        </w:rPr>
        <w:t>the majority of</w:t>
      </w:r>
      <w:proofErr w:type="gramEnd"/>
      <w:r w:rsidRPr="00AB655A">
        <w:rPr>
          <w:rFonts w:ascii="Tahoma" w:hAnsi="Tahoma" w:cs="Tahoma"/>
          <w:sz w:val="22"/>
          <w:szCs w:val="22"/>
          <w:lang w:val="en-US"/>
        </w:rPr>
        <w:t xml:space="preserve"> these entities had a gender unit, focal point, commission, or tripartite committee that addressed this issue. </w:t>
      </w:r>
      <w:proofErr w:type="gramStart"/>
      <w:r w:rsidRPr="00AB655A">
        <w:rPr>
          <w:rFonts w:ascii="Tahoma" w:hAnsi="Tahoma" w:cs="Tahoma"/>
          <w:sz w:val="22"/>
          <w:szCs w:val="22"/>
          <w:lang w:val="en-US"/>
        </w:rPr>
        <w:t>Generally</w:t>
      </w:r>
      <w:r w:rsidR="00F022AD">
        <w:rPr>
          <w:rFonts w:ascii="Tahoma" w:hAnsi="Tahoma" w:cs="Tahoma"/>
          <w:sz w:val="22"/>
          <w:szCs w:val="22"/>
          <w:lang w:val="en-US"/>
        </w:rPr>
        <w:t xml:space="preserve"> </w:t>
      </w:r>
      <w:r w:rsidRPr="00AB655A">
        <w:rPr>
          <w:rFonts w:ascii="Tahoma" w:hAnsi="Tahoma" w:cs="Tahoma"/>
          <w:sz w:val="22"/>
          <w:szCs w:val="22"/>
          <w:lang w:val="en-US"/>
        </w:rPr>
        <w:t>speaking, the</w:t>
      </w:r>
      <w:proofErr w:type="gramEnd"/>
      <w:r w:rsidRPr="00AB655A">
        <w:rPr>
          <w:rFonts w:ascii="Tahoma" w:hAnsi="Tahoma" w:cs="Tahoma"/>
          <w:sz w:val="22"/>
          <w:szCs w:val="22"/>
          <w:lang w:val="en-US"/>
        </w:rPr>
        <w:t xml:space="preserve"> degree of institutionalization of these mechanisms to mainstream a gender approach diverged. In some cases, </w:t>
      </w:r>
      <w:r w:rsidR="00B114BD" w:rsidRPr="00AB655A">
        <w:rPr>
          <w:rFonts w:ascii="Tahoma" w:hAnsi="Tahoma" w:cs="Tahoma"/>
          <w:sz w:val="22"/>
          <w:szCs w:val="22"/>
          <w:lang w:val="en-US"/>
        </w:rPr>
        <w:t xml:space="preserve">they focused more on implementing activities to support women </w:t>
      </w:r>
      <w:r w:rsidR="00F022AD">
        <w:rPr>
          <w:rFonts w:ascii="Tahoma" w:hAnsi="Tahoma" w:cs="Tahoma"/>
          <w:sz w:val="22"/>
          <w:szCs w:val="22"/>
          <w:lang w:val="en-US"/>
        </w:rPr>
        <w:t>directly</w:t>
      </w:r>
      <w:r w:rsidR="00B114BD" w:rsidRPr="00AB655A">
        <w:rPr>
          <w:rFonts w:ascii="Tahoma" w:hAnsi="Tahoma" w:cs="Tahoma"/>
          <w:sz w:val="22"/>
          <w:szCs w:val="22"/>
          <w:lang w:val="en-US"/>
        </w:rPr>
        <w:t>,</w:t>
      </w:r>
      <w:r w:rsidR="00F022AD">
        <w:rPr>
          <w:rFonts w:ascii="Tahoma" w:hAnsi="Tahoma" w:cs="Tahoma"/>
          <w:sz w:val="22"/>
          <w:szCs w:val="22"/>
          <w:lang w:val="en-US"/>
        </w:rPr>
        <w:t xml:space="preserve"> </w:t>
      </w:r>
      <w:r w:rsidR="00F022AD">
        <w:rPr>
          <w:rFonts w:ascii="Tahoma" w:hAnsi="Tahoma" w:cs="Tahoma"/>
          <w:sz w:val="22"/>
          <w:szCs w:val="22"/>
          <w:lang w:val="en-US"/>
        </w:rPr>
        <w:lastRenderedPageBreak/>
        <w:t xml:space="preserve">rather than </w:t>
      </w:r>
      <w:r w:rsidR="00B114BD" w:rsidRPr="00AB655A">
        <w:rPr>
          <w:rFonts w:ascii="Tahoma" w:hAnsi="Tahoma" w:cs="Tahoma"/>
          <w:sz w:val="22"/>
          <w:szCs w:val="22"/>
          <w:lang w:val="en-US"/>
        </w:rPr>
        <w:t xml:space="preserve">on </w:t>
      </w:r>
      <w:r w:rsidR="00F022AD">
        <w:rPr>
          <w:rFonts w:ascii="Tahoma" w:hAnsi="Tahoma" w:cs="Tahoma"/>
          <w:sz w:val="22"/>
          <w:szCs w:val="22"/>
          <w:lang w:val="en-US"/>
        </w:rPr>
        <w:t>developing</w:t>
      </w:r>
      <w:r w:rsidR="00B114BD" w:rsidRPr="00AB655A">
        <w:rPr>
          <w:rFonts w:ascii="Tahoma" w:hAnsi="Tahoma" w:cs="Tahoma"/>
          <w:sz w:val="22"/>
          <w:szCs w:val="22"/>
          <w:lang w:val="en-US"/>
        </w:rPr>
        <w:t xml:space="preserve"> cross-cutting actions in the policies, programs, and projects that </w:t>
      </w:r>
      <w:r w:rsidR="00F022AD">
        <w:rPr>
          <w:rFonts w:ascii="Tahoma" w:hAnsi="Tahoma" w:cs="Tahoma"/>
          <w:sz w:val="22"/>
          <w:szCs w:val="22"/>
          <w:lang w:val="en-US"/>
        </w:rPr>
        <w:t xml:space="preserve">could challenge </w:t>
      </w:r>
      <w:r w:rsidR="00B114BD" w:rsidRPr="00AB655A">
        <w:rPr>
          <w:rFonts w:ascii="Tahoma" w:hAnsi="Tahoma" w:cs="Tahoma"/>
          <w:sz w:val="22"/>
          <w:szCs w:val="22"/>
          <w:lang w:val="en-US"/>
        </w:rPr>
        <w:t xml:space="preserve">the system and the gender gaps in the labor market. </w:t>
      </w:r>
    </w:p>
    <w:p w14:paraId="624E4C27" w14:textId="67507512" w:rsidR="00B114BD" w:rsidRPr="00AB655A" w:rsidRDefault="45A8B04F" w:rsidP="00870881">
      <w:pPr>
        <w:spacing w:line="288" w:lineRule="auto"/>
        <w:jc w:val="both"/>
        <w:rPr>
          <w:rFonts w:ascii="Tahoma" w:hAnsi="Tahoma" w:cs="Tahoma"/>
          <w:sz w:val="22"/>
          <w:szCs w:val="22"/>
          <w:lang w:val="en-US"/>
        </w:rPr>
      </w:pPr>
      <w:r w:rsidRPr="00AB655A">
        <w:rPr>
          <w:rFonts w:ascii="Tahoma" w:hAnsi="Tahoma" w:cs="Tahoma"/>
          <w:sz w:val="22"/>
          <w:szCs w:val="22"/>
          <w:lang w:val="en-US"/>
        </w:rPr>
        <w:t>The second study, published in 2021 by the IACML</w:t>
      </w:r>
      <w:r w:rsidR="34712276">
        <w:rPr>
          <w:rFonts w:ascii="Tahoma" w:hAnsi="Tahoma" w:cs="Tahoma"/>
          <w:sz w:val="22"/>
          <w:szCs w:val="22"/>
          <w:lang w:val="en-US"/>
        </w:rPr>
        <w:t xml:space="preserve"> Technical Secretariat</w:t>
      </w:r>
      <w:r w:rsidRPr="00AB655A">
        <w:rPr>
          <w:rFonts w:ascii="Tahoma" w:hAnsi="Tahoma" w:cs="Tahoma"/>
          <w:sz w:val="22"/>
          <w:szCs w:val="22"/>
          <w:lang w:val="en-US"/>
        </w:rPr>
        <w:t>,</w:t>
      </w:r>
      <w:r w:rsidR="001A7F30" w:rsidRPr="00AB655A">
        <w:rPr>
          <w:rStyle w:val="FootnoteReference"/>
          <w:rFonts w:ascii="Tahoma" w:hAnsi="Tahoma" w:cs="Tahoma"/>
          <w:sz w:val="22"/>
          <w:szCs w:val="22"/>
          <w:lang w:val="en-US"/>
        </w:rPr>
        <w:footnoteReference w:id="7"/>
      </w:r>
      <w:r w:rsidRPr="00AB655A">
        <w:rPr>
          <w:rFonts w:ascii="Tahoma" w:hAnsi="Tahoma" w:cs="Tahoma"/>
          <w:sz w:val="22"/>
          <w:szCs w:val="22"/>
          <w:lang w:val="en-US"/>
        </w:rPr>
        <w:t xml:space="preserve"> </w:t>
      </w:r>
      <w:r w:rsidR="00BAC351" w:rsidRPr="00AB655A">
        <w:rPr>
          <w:rFonts w:ascii="Tahoma" w:hAnsi="Tahoma" w:cs="Tahoma"/>
          <w:sz w:val="22"/>
          <w:szCs w:val="22"/>
          <w:lang w:val="en-US"/>
        </w:rPr>
        <w:t xml:space="preserve">was an opportunity to analyze the evolution of these mechanisms and confirm that they </w:t>
      </w:r>
      <w:r w:rsidR="005E3F0C">
        <w:rPr>
          <w:rFonts w:ascii="Tahoma" w:hAnsi="Tahoma" w:cs="Tahoma"/>
          <w:sz w:val="22"/>
          <w:szCs w:val="22"/>
          <w:lang w:val="en-US"/>
        </w:rPr>
        <w:t>are stronger</w:t>
      </w:r>
      <w:r w:rsidR="00BAC351" w:rsidRPr="00AB655A">
        <w:rPr>
          <w:rFonts w:ascii="Tahoma" w:hAnsi="Tahoma" w:cs="Tahoma"/>
          <w:sz w:val="22"/>
          <w:szCs w:val="22"/>
          <w:lang w:val="en-US"/>
        </w:rPr>
        <w:t xml:space="preserve"> and </w:t>
      </w:r>
      <w:r w:rsidR="006D0E6D">
        <w:rPr>
          <w:rFonts w:ascii="Tahoma" w:hAnsi="Tahoma" w:cs="Tahoma"/>
          <w:sz w:val="22"/>
          <w:szCs w:val="22"/>
          <w:lang w:val="en-US"/>
        </w:rPr>
        <w:t xml:space="preserve">have been </w:t>
      </w:r>
      <w:r w:rsidR="00BAC351" w:rsidRPr="00AB655A">
        <w:rPr>
          <w:rFonts w:ascii="Tahoma" w:hAnsi="Tahoma" w:cs="Tahoma"/>
          <w:sz w:val="22"/>
          <w:szCs w:val="22"/>
          <w:lang w:val="en-US"/>
        </w:rPr>
        <w:t xml:space="preserve">growing. Some </w:t>
      </w:r>
      <w:r w:rsidR="00694A62">
        <w:rPr>
          <w:rFonts w:ascii="Tahoma" w:hAnsi="Tahoma" w:cs="Tahoma"/>
          <w:sz w:val="22"/>
          <w:szCs w:val="22"/>
          <w:lang w:val="en-US"/>
        </w:rPr>
        <w:t xml:space="preserve">Ministries </w:t>
      </w:r>
      <w:r w:rsidR="00BAC351" w:rsidRPr="00AB655A">
        <w:rPr>
          <w:rFonts w:ascii="Tahoma" w:hAnsi="Tahoma" w:cs="Tahoma"/>
          <w:sz w:val="22"/>
          <w:szCs w:val="22"/>
          <w:lang w:val="en-US"/>
        </w:rPr>
        <w:t>have e</w:t>
      </w:r>
      <w:r w:rsidR="46DA5BDE" w:rsidRPr="00AB655A">
        <w:rPr>
          <w:rFonts w:ascii="Tahoma" w:hAnsi="Tahoma" w:cs="Tahoma"/>
          <w:sz w:val="22"/>
          <w:szCs w:val="22"/>
          <w:lang w:val="en-US"/>
        </w:rPr>
        <w:t>xpanded the competenc</w:t>
      </w:r>
      <w:r w:rsidR="46DA5BDE" w:rsidRPr="00AB655A">
        <w:rPr>
          <w:rFonts w:ascii="Tahoma" w:hAnsi="Tahoma" w:cs="Tahoma"/>
          <w:sz w:val="22"/>
          <w:szCs w:val="22"/>
          <w:lang w:val="en-US"/>
        </w:rPr>
        <w:t>i</w:t>
      </w:r>
      <w:r w:rsidR="46DA5BDE" w:rsidRPr="00AB655A">
        <w:rPr>
          <w:rFonts w:ascii="Tahoma" w:hAnsi="Tahoma" w:cs="Tahoma"/>
          <w:sz w:val="22"/>
          <w:szCs w:val="22"/>
          <w:lang w:val="en-US"/>
        </w:rPr>
        <w:t>es of the Specialized Gender U</w:t>
      </w:r>
      <w:r w:rsidR="00BAC351" w:rsidRPr="00AB655A">
        <w:rPr>
          <w:rFonts w:ascii="Tahoma" w:hAnsi="Tahoma" w:cs="Tahoma"/>
          <w:sz w:val="22"/>
          <w:szCs w:val="22"/>
          <w:lang w:val="en-US"/>
        </w:rPr>
        <w:t xml:space="preserve">nits, even improving their place in the organizational structure, which allows them to have greater influence in the processes to develop policies, programs, and projects. </w:t>
      </w:r>
      <w:proofErr w:type="gramStart"/>
      <w:r w:rsidR="00BAC351" w:rsidRPr="00AB655A">
        <w:rPr>
          <w:rFonts w:ascii="Tahoma" w:hAnsi="Tahoma" w:cs="Tahoma"/>
          <w:sz w:val="22"/>
          <w:szCs w:val="22"/>
          <w:lang w:val="en-US"/>
        </w:rPr>
        <w:t>All</w:t>
      </w:r>
      <w:r w:rsidR="00694A62">
        <w:rPr>
          <w:rFonts w:ascii="Tahoma" w:hAnsi="Tahoma" w:cs="Tahoma"/>
          <w:sz w:val="22"/>
          <w:szCs w:val="22"/>
          <w:lang w:val="en-US"/>
        </w:rPr>
        <w:t xml:space="preserve"> </w:t>
      </w:r>
      <w:r w:rsidR="00BAC351" w:rsidRPr="00AB655A">
        <w:rPr>
          <w:rFonts w:ascii="Tahoma" w:hAnsi="Tahoma" w:cs="Tahoma"/>
          <w:sz w:val="22"/>
          <w:szCs w:val="22"/>
          <w:lang w:val="en-US"/>
        </w:rPr>
        <w:t>of</w:t>
      </w:r>
      <w:proofErr w:type="gramEnd"/>
      <w:r w:rsidR="00BAC351" w:rsidRPr="00AB655A">
        <w:rPr>
          <w:rFonts w:ascii="Tahoma" w:hAnsi="Tahoma" w:cs="Tahoma"/>
          <w:sz w:val="22"/>
          <w:szCs w:val="22"/>
          <w:lang w:val="en-US"/>
        </w:rPr>
        <w:t xml:space="preserve"> these actions promote the mainstreaming of the gender approach in the institution. </w:t>
      </w:r>
    </w:p>
    <w:p w14:paraId="47E02D1E" w14:textId="600B82E0" w:rsidR="00082DA3" w:rsidRPr="00AB655A" w:rsidRDefault="00082DA3" w:rsidP="00870881">
      <w:pPr>
        <w:spacing w:line="288" w:lineRule="auto"/>
        <w:jc w:val="both"/>
        <w:rPr>
          <w:rFonts w:ascii="Tahoma" w:hAnsi="Tahoma" w:cs="Tahoma"/>
          <w:sz w:val="22"/>
          <w:szCs w:val="22"/>
          <w:lang w:val="en-US"/>
        </w:rPr>
      </w:pPr>
    </w:p>
    <w:p w14:paraId="2C539799" w14:textId="19E83C64" w:rsidR="005F3497" w:rsidRPr="00AB655A" w:rsidRDefault="6D7D3331" w:rsidP="00EB2D0E">
      <w:pPr>
        <w:pStyle w:val="Heading1"/>
        <w:numPr>
          <w:ilvl w:val="0"/>
          <w:numId w:val="3"/>
        </w:numPr>
        <w:rPr>
          <w:lang w:val="en-US"/>
        </w:rPr>
      </w:pPr>
      <w:r w:rsidRPr="2425A842">
        <w:rPr>
          <w:lang w:val="en-US"/>
        </w:rPr>
        <w:t>specialized gender unit</w:t>
      </w:r>
      <w:r w:rsidR="4B2E16DC" w:rsidRPr="2425A842">
        <w:rPr>
          <w:lang w:val="en-US"/>
        </w:rPr>
        <w:t>S</w:t>
      </w:r>
      <w:r w:rsidRPr="2425A842">
        <w:rPr>
          <w:lang w:val="en-US"/>
        </w:rPr>
        <w:t>: how do we define them?</w:t>
      </w:r>
    </w:p>
    <w:p w14:paraId="0511D30C" w14:textId="77777777" w:rsidR="00356702" w:rsidRPr="00AB655A" w:rsidRDefault="00356702" w:rsidP="00944213">
      <w:pPr>
        <w:spacing w:line="288" w:lineRule="auto"/>
        <w:jc w:val="both"/>
        <w:rPr>
          <w:rFonts w:ascii="Tahoma" w:hAnsi="Tahoma" w:cs="Tahoma"/>
          <w:color w:val="FF0000"/>
          <w:sz w:val="22"/>
          <w:szCs w:val="22"/>
          <w:lang w:val="en-US"/>
        </w:rPr>
      </w:pPr>
    </w:p>
    <w:p w14:paraId="4F9F7C4E" w14:textId="16156E6D" w:rsidR="002E2BB2" w:rsidRPr="00AB655A" w:rsidRDefault="6D7D3331" w:rsidP="00944213">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To conduct the </w:t>
      </w:r>
      <w:r w:rsidR="44A75EC9" w:rsidRPr="2425A842">
        <w:rPr>
          <w:rFonts w:ascii="Tahoma" w:hAnsi="Tahoma" w:cs="Tahoma"/>
          <w:sz w:val="22"/>
          <w:szCs w:val="22"/>
          <w:lang w:val="en-US"/>
        </w:rPr>
        <w:t>above-</w:t>
      </w:r>
      <w:r w:rsidRPr="2425A842">
        <w:rPr>
          <w:rFonts w:ascii="Tahoma" w:hAnsi="Tahoma" w:cs="Tahoma"/>
          <w:sz w:val="22"/>
          <w:szCs w:val="22"/>
          <w:lang w:val="en-US"/>
        </w:rPr>
        <w:t xml:space="preserve">mentioned studies, the Technical Secretariat sent questionnaires to gather information on the institutionalization of the gender equality approach in the Ministries of Labor of the region. One of </w:t>
      </w:r>
      <w:r w:rsidRPr="2425A842">
        <w:rPr>
          <w:rFonts w:ascii="Tahoma" w:hAnsi="Tahoma" w:cs="Tahoma"/>
          <w:sz w:val="22"/>
          <w:szCs w:val="22"/>
          <w:lang w:val="en-US"/>
        </w:rPr>
        <w:t xml:space="preserve">the </w:t>
      </w:r>
      <w:r w:rsidRPr="2425A842">
        <w:rPr>
          <w:rFonts w:ascii="Tahoma" w:hAnsi="Tahoma" w:cs="Tahoma"/>
          <w:sz w:val="22"/>
          <w:szCs w:val="22"/>
          <w:lang w:val="en-US"/>
        </w:rPr>
        <w:t xml:space="preserve">questions </w:t>
      </w:r>
      <w:r w:rsidRPr="2425A842">
        <w:rPr>
          <w:rFonts w:ascii="Tahoma" w:hAnsi="Tahoma" w:cs="Tahoma"/>
          <w:sz w:val="22"/>
          <w:szCs w:val="22"/>
          <w:lang w:val="en-US"/>
        </w:rPr>
        <w:t>pertained to</w:t>
      </w:r>
      <w:r w:rsidRPr="2425A842">
        <w:rPr>
          <w:rFonts w:ascii="Tahoma" w:hAnsi="Tahoma" w:cs="Tahoma"/>
          <w:sz w:val="22"/>
          <w:szCs w:val="22"/>
          <w:lang w:val="en-US"/>
        </w:rPr>
        <w:t xml:space="preserve"> the mission of the Gender Units. In some cases, when explaining the Mission, there </w:t>
      </w:r>
      <w:r w:rsidR="23B0BAEB" w:rsidRPr="2425A842">
        <w:rPr>
          <w:rFonts w:ascii="Tahoma" w:hAnsi="Tahoma" w:cs="Tahoma"/>
          <w:sz w:val="22"/>
          <w:szCs w:val="22"/>
          <w:lang w:val="en-US"/>
        </w:rPr>
        <w:t>was</w:t>
      </w:r>
      <w:r w:rsidRPr="2425A842">
        <w:rPr>
          <w:rFonts w:ascii="Tahoma" w:hAnsi="Tahoma" w:cs="Tahoma"/>
          <w:sz w:val="22"/>
          <w:szCs w:val="22"/>
          <w:lang w:val="en-US"/>
        </w:rPr>
        <w:t xml:space="preserve"> a tendency to list the </w:t>
      </w:r>
      <w:r w:rsidR="51BA6F8C" w:rsidRPr="2425A842">
        <w:rPr>
          <w:rFonts w:ascii="Tahoma" w:hAnsi="Tahoma" w:cs="Tahoma"/>
          <w:sz w:val="22"/>
          <w:szCs w:val="22"/>
          <w:lang w:val="en-US"/>
        </w:rPr>
        <w:t>functions</w:t>
      </w:r>
      <w:r w:rsidRPr="2425A842">
        <w:rPr>
          <w:rFonts w:ascii="Tahoma" w:hAnsi="Tahoma" w:cs="Tahoma"/>
          <w:sz w:val="22"/>
          <w:szCs w:val="22"/>
          <w:lang w:val="en-US"/>
        </w:rPr>
        <w:t xml:space="preserve"> and/or activities of the organization, for example: “Assess and monitor public policies, implement regulations, participate in inter-sectoral committees, awareness-raising, and provide services to foster the compliance of wome</w:t>
      </w:r>
      <w:r w:rsidR="3ABCAB84" w:rsidRPr="2425A842">
        <w:rPr>
          <w:rFonts w:ascii="Tahoma" w:hAnsi="Tahoma" w:cs="Tahoma"/>
          <w:sz w:val="22"/>
          <w:szCs w:val="22"/>
          <w:lang w:val="en-US"/>
        </w:rPr>
        <w:t>n</w:t>
      </w:r>
      <w:r w:rsidRPr="2425A842">
        <w:rPr>
          <w:rFonts w:ascii="Tahoma" w:hAnsi="Tahoma" w:cs="Tahoma"/>
          <w:sz w:val="22"/>
          <w:szCs w:val="22"/>
          <w:lang w:val="en-US"/>
        </w:rPr>
        <w:t xml:space="preserve">’s labor rights”. Another tendency </w:t>
      </w:r>
      <w:r w:rsidR="23B0BAEB" w:rsidRPr="2425A842">
        <w:rPr>
          <w:rFonts w:ascii="Tahoma" w:hAnsi="Tahoma" w:cs="Tahoma"/>
          <w:sz w:val="22"/>
          <w:szCs w:val="22"/>
          <w:lang w:val="en-US"/>
        </w:rPr>
        <w:t>was</w:t>
      </w:r>
      <w:r w:rsidRPr="2425A842">
        <w:rPr>
          <w:rFonts w:ascii="Tahoma" w:hAnsi="Tahoma" w:cs="Tahoma"/>
          <w:sz w:val="22"/>
          <w:szCs w:val="22"/>
          <w:lang w:val="en-US"/>
        </w:rPr>
        <w:t xml:space="preserve"> to include a brief description of the main purpose: “Mainstream a gender approach in the policies and programs of the Ministries of Labor”.</w:t>
      </w:r>
    </w:p>
    <w:p w14:paraId="7D1B732A" w14:textId="3B4CEA8F" w:rsidR="00D064C3" w:rsidRPr="00AB655A" w:rsidRDefault="51BA6F8C" w:rsidP="00944213">
      <w:pPr>
        <w:spacing w:line="288" w:lineRule="auto"/>
        <w:jc w:val="both"/>
        <w:rPr>
          <w:rFonts w:ascii="Tahoma" w:hAnsi="Tahoma" w:cs="Tahoma"/>
          <w:sz w:val="22"/>
          <w:szCs w:val="22"/>
          <w:lang w:val="en-US"/>
        </w:rPr>
      </w:pPr>
      <w:r w:rsidRPr="2425A842">
        <w:rPr>
          <w:rFonts w:ascii="Tahoma" w:hAnsi="Tahoma" w:cs="Tahoma"/>
          <w:sz w:val="22"/>
          <w:szCs w:val="22"/>
          <w:lang w:val="en-US"/>
        </w:rPr>
        <w:t>Units define their mission in specific ways; these definitions are important because the purpose or raison d'être of the units establish</w:t>
      </w:r>
      <w:r w:rsidRPr="2425A842">
        <w:rPr>
          <w:rFonts w:ascii="Tahoma" w:hAnsi="Tahoma" w:cs="Tahoma"/>
          <w:sz w:val="22"/>
          <w:szCs w:val="22"/>
          <w:lang w:val="en-US"/>
        </w:rPr>
        <w:t>es</w:t>
      </w:r>
      <w:r w:rsidRPr="2425A842">
        <w:rPr>
          <w:rFonts w:ascii="Tahoma" w:hAnsi="Tahoma" w:cs="Tahoma"/>
          <w:sz w:val="22"/>
          <w:szCs w:val="22"/>
          <w:lang w:val="en-US"/>
        </w:rPr>
        <w:t xml:space="preserve"> what they intend to achieve in a specific context. As a result, these become a framework that guide</w:t>
      </w:r>
      <w:r w:rsidRPr="2425A842">
        <w:rPr>
          <w:rFonts w:ascii="Tahoma" w:hAnsi="Tahoma" w:cs="Tahoma"/>
          <w:sz w:val="22"/>
          <w:szCs w:val="22"/>
          <w:lang w:val="en-US"/>
        </w:rPr>
        <w:t>s</w:t>
      </w:r>
      <w:r w:rsidRPr="2425A842">
        <w:rPr>
          <w:rFonts w:ascii="Tahoma" w:hAnsi="Tahoma" w:cs="Tahoma"/>
          <w:sz w:val="22"/>
          <w:szCs w:val="22"/>
          <w:lang w:val="en-US"/>
        </w:rPr>
        <w:t xml:space="preserve"> their decisions and </w:t>
      </w:r>
      <w:r w:rsidR="6EDDCB39" w:rsidRPr="2425A842">
        <w:rPr>
          <w:rFonts w:ascii="Tahoma" w:hAnsi="Tahoma" w:cs="Tahoma"/>
          <w:sz w:val="22"/>
          <w:szCs w:val="22"/>
          <w:lang w:val="en-US"/>
        </w:rPr>
        <w:t xml:space="preserve">a type of roadmap that allows the units to operate in </w:t>
      </w:r>
      <w:r w:rsidR="3ABCAB84" w:rsidRPr="2425A842">
        <w:rPr>
          <w:rFonts w:ascii="Tahoma" w:hAnsi="Tahoma" w:cs="Tahoma"/>
          <w:sz w:val="22"/>
          <w:szCs w:val="22"/>
          <w:lang w:val="en-US"/>
        </w:rPr>
        <w:t xml:space="preserve">a </w:t>
      </w:r>
      <w:r w:rsidR="6EDDCB39" w:rsidRPr="2425A842">
        <w:rPr>
          <w:rFonts w:ascii="Tahoma" w:hAnsi="Tahoma" w:cs="Tahoma"/>
          <w:sz w:val="22"/>
          <w:szCs w:val="22"/>
          <w:lang w:val="en-US"/>
        </w:rPr>
        <w:t>coherent manner.</w:t>
      </w:r>
    </w:p>
    <w:p w14:paraId="193E3554" w14:textId="64C14E1E" w:rsidR="00573241" w:rsidRPr="00AB655A" w:rsidRDefault="00142D4E" w:rsidP="00573241">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w:t>
      </w:r>
      <w:r w:rsidR="00575E63" w:rsidRPr="00AB655A">
        <w:rPr>
          <w:rFonts w:ascii="Tahoma" w:hAnsi="Tahoma" w:cs="Tahoma"/>
          <w:sz w:val="22"/>
          <w:szCs w:val="22"/>
          <w:lang w:val="en-US"/>
        </w:rPr>
        <w:t>Mission statement</w:t>
      </w:r>
      <w:r w:rsidRPr="00AB655A">
        <w:rPr>
          <w:rFonts w:ascii="Tahoma" w:hAnsi="Tahoma" w:cs="Tahoma"/>
          <w:sz w:val="22"/>
          <w:szCs w:val="22"/>
          <w:lang w:val="en-US"/>
        </w:rPr>
        <w:t xml:space="preserve"> is</w:t>
      </w:r>
      <w:r w:rsidR="007C1F44" w:rsidRPr="00AB655A">
        <w:rPr>
          <w:rFonts w:ascii="Tahoma" w:hAnsi="Tahoma" w:cs="Tahoma"/>
          <w:sz w:val="22"/>
          <w:szCs w:val="22"/>
          <w:lang w:val="en-US"/>
        </w:rPr>
        <w:t xml:space="preserve"> a</w:t>
      </w:r>
      <w:r w:rsidRPr="00AB655A">
        <w:rPr>
          <w:rFonts w:ascii="Tahoma" w:hAnsi="Tahoma" w:cs="Tahoma"/>
          <w:sz w:val="22"/>
          <w:szCs w:val="22"/>
          <w:lang w:val="en-US"/>
        </w:rPr>
        <w:t xml:space="preserve"> fundamental compass that sets the stage to make decisions, </w:t>
      </w:r>
      <w:r w:rsidR="007C1F44" w:rsidRPr="00AB655A">
        <w:rPr>
          <w:rFonts w:ascii="Tahoma" w:hAnsi="Tahoma" w:cs="Tahoma"/>
          <w:sz w:val="22"/>
          <w:szCs w:val="22"/>
          <w:lang w:val="en-US"/>
        </w:rPr>
        <w:t>generate strate</w:t>
      </w:r>
      <w:r w:rsidRPr="00AB655A">
        <w:rPr>
          <w:rFonts w:ascii="Tahoma" w:hAnsi="Tahoma" w:cs="Tahoma"/>
          <w:sz w:val="22"/>
          <w:szCs w:val="22"/>
          <w:lang w:val="en-US"/>
        </w:rPr>
        <w:t>g</w:t>
      </w:r>
      <w:r w:rsidR="007C1F44" w:rsidRPr="00AB655A">
        <w:rPr>
          <w:rFonts w:ascii="Tahoma" w:hAnsi="Tahoma" w:cs="Tahoma"/>
          <w:sz w:val="22"/>
          <w:szCs w:val="22"/>
          <w:lang w:val="en-US"/>
        </w:rPr>
        <w:t>i</w:t>
      </w:r>
      <w:r w:rsidRPr="00AB655A">
        <w:rPr>
          <w:rFonts w:ascii="Tahoma" w:hAnsi="Tahoma" w:cs="Tahoma"/>
          <w:sz w:val="22"/>
          <w:szCs w:val="22"/>
          <w:lang w:val="en-US"/>
        </w:rPr>
        <w:t>es, and designate resources in a coherent way that is relevant to the Unit’s objectives.</w:t>
      </w:r>
    </w:p>
    <w:p w14:paraId="1B5FB5F8" w14:textId="56FA4618" w:rsidR="008A7165" w:rsidRPr="00AB655A" w:rsidRDefault="008A7165" w:rsidP="008A7165">
      <w:pPr>
        <w:spacing w:line="288" w:lineRule="auto"/>
        <w:jc w:val="both"/>
        <w:rPr>
          <w:rFonts w:ascii="Tahoma" w:hAnsi="Tahoma" w:cs="Tahoma"/>
          <w:sz w:val="22"/>
          <w:szCs w:val="22"/>
          <w:lang w:val="en-US"/>
        </w:rPr>
      </w:pPr>
    </w:p>
    <w:tbl>
      <w:tblPr>
        <w:tblStyle w:val="TableGrid"/>
        <w:tblW w:w="0" w:type="auto"/>
        <w:tblLook w:val="04A0" w:firstRow="1" w:lastRow="0" w:firstColumn="1" w:lastColumn="0" w:noHBand="0" w:noVBand="1"/>
      </w:tblPr>
      <w:tblGrid>
        <w:gridCol w:w="8494"/>
      </w:tblGrid>
      <w:tr w:rsidR="00D413C8" w:rsidRPr="00ED097B" w14:paraId="2CB2617D" w14:textId="77777777" w:rsidTr="00E07B31">
        <w:tc>
          <w:tcPr>
            <w:tcW w:w="8494" w:type="dxa"/>
            <w:shd w:val="clear" w:color="auto" w:fill="A9D5E7" w:themeFill="accent1" w:themeFillTint="66"/>
          </w:tcPr>
          <w:p w14:paraId="5EB6A776" w14:textId="31177226" w:rsidR="00D413C8" w:rsidRPr="00AB655A" w:rsidRDefault="00D413C8" w:rsidP="00575E63">
            <w:pPr>
              <w:spacing w:line="288" w:lineRule="auto"/>
              <w:jc w:val="both"/>
              <w:rPr>
                <w:rFonts w:ascii="Tahoma" w:hAnsi="Tahoma" w:cs="Tahoma"/>
                <w:b/>
                <w:bCs/>
                <w:lang w:val="en-US"/>
              </w:rPr>
            </w:pPr>
            <w:r w:rsidRPr="00AB655A">
              <w:rPr>
                <w:rFonts w:ascii="Tahoma" w:hAnsi="Tahoma" w:cs="Tahoma"/>
                <w:lang w:val="en-US"/>
              </w:rPr>
              <w:t xml:space="preserve"> </w:t>
            </w:r>
            <w:r w:rsidR="007D3C13" w:rsidRPr="00AB655A">
              <w:rPr>
                <w:rFonts w:ascii="Tahoma" w:hAnsi="Tahoma" w:cs="Tahoma"/>
                <w:b/>
                <w:bCs/>
                <w:lang w:val="en-US"/>
              </w:rPr>
              <w:t xml:space="preserve">Definitions of the </w:t>
            </w:r>
            <w:r w:rsidR="00575E63" w:rsidRPr="00AB655A">
              <w:rPr>
                <w:rFonts w:ascii="Tahoma" w:hAnsi="Tahoma" w:cs="Tahoma"/>
                <w:b/>
                <w:bCs/>
                <w:lang w:val="en-US"/>
              </w:rPr>
              <w:t>m</w:t>
            </w:r>
            <w:r w:rsidR="007D3C13" w:rsidRPr="00AB655A">
              <w:rPr>
                <w:rFonts w:ascii="Tahoma" w:hAnsi="Tahoma" w:cs="Tahoma"/>
                <w:b/>
                <w:bCs/>
                <w:lang w:val="en-US"/>
              </w:rPr>
              <w:t>ission of the Specialized Gender Units: generic examples</w:t>
            </w:r>
          </w:p>
          <w:p w14:paraId="7B1650D6" w14:textId="77777777" w:rsidR="00DB3D80" w:rsidRPr="00AB655A" w:rsidRDefault="00DB3D80" w:rsidP="00DB3D80">
            <w:pPr>
              <w:spacing w:line="288" w:lineRule="auto"/>
              <w:jc w:val="center"/>
              <w:rPr>
                <w:rFonts w:ascii="Tahoma" w:hAnsi="Tahoma" w:cs="Tahoma"/>
                <w:b/>
                <w:bCs/>
                <w:lang w:val="en-US"/>
              </w:rPr>
            </w:pPr>
          </w:p>
          <w:p w14:paraId="02820966" w14:textId="65985262" w:rsidR="007D3C13" w:rsidRPr="00AB655A" w:rsidRDefault="007D3C13" w:rsidP="00D413C8">
            <w:pPr>
              <w:spacing w:line="288" w:lineRule="auto"/>
              <w:jc w:val="both"/>
              <w:rPr>
                <w:rFonts w:ascii="Tahoma" w:hAnsi="Tahoma" w:cs="Tahoma"/>
                <w:lang w:val="en-US"/>
              </w:rPr>
            </w:pPr>
            <w:r w:rsidRPr="00AB655A">
              <w:rPr>
                <w:rFonts w:ascii="Tahoma" w:hAnsi="Tahoma" w:cs="Tahoma"/>
                <w:lang w:val="en-US"/>
              </w:rPr>
              <w:lastRenderedPageBreak/>
              <w:t>The “Joint resolution between the Ministry of Public Administr</w:t>
            </w:r>
            <w:r w:rsidR="00901269">
              <w:rPr>
                <w:rFonts w:ascii="Tahoma" w:hAnsi="Tahoma" w:cs="Tahoma"/>
                <w:lang w:val="en-US"/>
              </w:rPr>
              <w:t>ation and the Ministry of Women</w:t>
            </w:r>
            <w:r w:rsidRPr="00AB655A">
              <w:rPr>
                <w:rFonts w:ascii="Tahoma" w:hAnsi="Tahoma" w:cs="Tahoma"/>
                <w:lang w:val="en-US"/>
              </w:rPr>
              <w:t xml:space="preserve"> that stipulates the creation of the Gender Equality Units in the public sector” in the Dominican Republic, indicates the following: “The gender equality units are defined </w:t>
            </w:r>
            <w:r w:rsidR="005D6E34" w:rsidRPr="00AB655A">
              <w:rPr>
                <w:rFonts w:ascii="Tahoma" w:hAnsi="Tahoma" w:cs="Tahoma"/>
                <w:lang w:val="en-US"/>
              </w:rPr>
              <w:t xml:space="preserve">as the units that internally advise public entities on incorporating and mainstreaming a gender equality approach in the development, execution, monitoring, and evaluation of institutional policies, plans, programs, projects, and budgets. These units will also provide information </w:t>
            </w:r>
            <w:r w:rsidR="00517FC9" w:rsidRPr="00AB655A">
              <w:rPr>
                <w:rFonts w:ascii="Tahoma" w:hAnsi="Tahoma" w:cs="Tahoma"/>
                <w:lang w:val="en-US"/>
              </w:rPr>
              <w:t>disaggregated</w:t>
            </w:r>
            <w:r w:rsidR="005D6E34" w:rsidRPr="00AB655A">
              <w:rPr>
                <w:rFonts w:ascii="Tahoma" w:hAnsi="Tahoma" w:cs="Tahoma"/>
                <w:lang w:val="en-US"/>
              </w:rPr>
              <w:t xml:space="preserve"> by gender to measure the progress in meeting indicators of results an</w:t>
            </w:r>
            <w:r w:rsidR="003F31D8" w:rsidRPr="00AB655A">
              <w:rPr>
                <w:rFonts w:ascii="Tahoma" w:hAnsi="Tahoma" w:cs="Tahoma"/>
                <w:lang w:val="en-US"/>
              </w:rPr>
              <w:t>d impacts pertaining to the ins</w:t>
            </w:r>
            <w:r w:rsidR="005D6E34" w:rsidRPr="00AB655A">
              <w:rPr>
                <w:rFonts w:ascii="Tahoma" w:hAnsi="Tahoma" w:cs="Tahoma"/>
                <w:lang w:val="en-US"/>
              </w:rPr>
              <w:t>t</w:t>
            </w:r>
            <w:r w:rsidR="003F31D8" w:rsidRPr="00AB655A">
              <w:rPr>
                <w:rFonts w:ascii="Tahoma" w:hAnsi="Tahoma" w:cs="Tahoma"/>
                <w:lang w:val="en-US"/>
              </w:rPr>
              <w:t>it</w:t>
            </w:r>
            <w:r w:rsidR="005D6E34" w:rsidRPr="00AB655A">
              <w:rPr>
                <w:rFonts w:ascii="Tahoma" w:hAnsi="Tahoma" w:cs="Tahoma"/>
                <w:lang w:val="en-US"/>
              </w:rPr>
              <w:t>ution’s duties and related to the strategic areas of the National Development Strategy and the SDGs.”</w:t>
            </w:r>
            <w:r w:rsidR="005D6E34" w:rsidRPr="00AB655A">
              <w:rPr>
                <w:rStyle w:val="FootnoteReference"/>
                <w:rFonts w:ascii="Tahoma" w:hAnsi="Tahoma" w:cs="Tahoma"/>
                <w:lang w:val="en-US"/>
              </w:rPr>
              <w:footnoteReference w:id="8"/>
            </w:r>
          </w:p>
          <w:p w14:paraId="57461EF5" w14:textId="0E85C4F7" w:rsidR="00D413C8" w:rsidRPr="00AB655A" w:rsidRDefault="005D6E34" w:rsidP="005D6E34">
            <w:pPr>
              <w:spacing w:line="288" w:lineRule="auto"/>
              <w:jc w:val="both"/>
              <w:rPr>
                <w:rFonts w:ascii="Tahoma" w:hAnsi="Tahoma" w:cs="Tahoma"/>
                <w:lang w:val="en-US"/>
              </w:rPr>
            </w:pPr>
            <w:r w:rsidRPr="00AB655A">
              <w:rPr>
                <w:rFonts w:ascii="Tahoma" w:hAnsi="Tahoma" w:cs="Tahoma"/>
                <w:lang w:val="en-US"/>
              </w:rPr>
              <w:t>Article 2 of the Decree to Create Gender Equality Units and the National Network of Gender Equality Units in Costa Rica establishes that: “The objective of the gender equality units will be to promote the inclusion of a gender equality and equity approach in the institution’s actions, as well as to guide, strengthen, and monitor the actions related to the implementation of the policy on gender equity and equality.”</w:t>
            </w:r>
            <w:r w:rsidR="00D413C8" w:rsidRPr="00AB655A">
              <w:rPr>
                <w:rStyle w:val="FootnoteReference"/>
                <w:rFonts w:ascii="Tahoma" w:hAnsi="Tahoma" w:cs="Tahoma"/>
                <w:lang w:val="en-US"/>
              </w:rPr>
              <w:footnoteReference w:id="9"/>
            </w:r>
            <w:r w:rsidR="00D413C8" w:rsidRPr="00AB655A">
              <w:rPr>
                <w:rFonts w:ascii="Tahoma" w:hAnsi="Tahoma" w:cs="Tahoma"/>
                <w:lang w:val="en-US"/>
              </w:rPr>
              <w:t xml:space="preserve">  </w:t>
            </w:r>
          </w:p>
          <w:p w14:paraId="162FBC9B" w14:textId="0C3CE107" w:rsidR="00D413C8" w:rsidRPr="00AB655A" w:rsidRDefault="00DA3C5E" w:rsidP="00D413C8">
            <w:pPr>
              <w:spacing w:line="288" w:lineRule="auto"/>
              <w:jc w:val="both"/>
              <w:rPr>
                <w:rFonts w:ascii="Tahoma" w:hAnsi="Tahoma" w:cs="Tahoma"/>
                <w:lang w:val="en-US"/>
              </w:rPr>
            </w:pPr>
            <w:r w:rsidRPr="00AB655A">
              <w:rPr>
                <w:rFonts w:ascii="Tahoma" w:hAnsi="Tahoma" w:cs="Tahoma"/>
                <w:lang w:val="en-US"/>
              </w:rPr>
              <w:t>The Nuevo Leó</w:t>
            </w:r>
            <w:r w:rsidR="003735F1" w:rsidRPr="00AB655A">
              <w:rPr>
                <w:rFonts w:ascii="Tahoma" w:hAnsi="Tahoma" w:cs="Tahoma"/>
                <w:lang w:val="en-US"/>
              </w:rPr>
              <w:t>n Women’s Institu</w:t>
            </w:r>
            <w:r w:rsidR="00104617" w:rsidRPr="00AB655A">
              <w:rPr>
                <w:rFonts w:ascii="Tahoma" w:hAnsi="Tahoma" w:cs="Tahoma"/>
                <w:lang w:val="en-US"/>
              </w:rPr>
              <w:t>t</w:t>
            </w:r>
            <w:r w:rsidR="003735F1" w:rsidRPr="00AB655A">
              <w:rPr>
                <w:rFonts w:ascii="Tahoma" w:hAnsi="Tahoma" w:cs="Tahoma"/>
                <w:lang w:val="en-US"/>
              </w:rPr>
              <w:t>e in Mexico indicates the Mission of the Gender Units: “This is the leading authority that creates, fosters, and executes public policies on equal opportunities between men and women. It promotes non-discrimination and equity between genders, decision-making, and affirmative actions to ensure the full exercise of women’s and men’s rights.”</w:t>
            </w:r>
            <w:r w:rsidR="00D413C8" w:rsidRPr="00AB655A">
              <w:rPr>
                <w:rStyle w:val="FootnoteReference"/>
                <w:rFonts w:ascii="Tahoma" w:hAnsi="Tahoma" w:cs="Tahoma"/>
                <w:lang w:val="en-US"/>
              </w:rPr>
              <w:footnoteReference w:id="10"/>
            </w:r>
            <w:r w:rsidR="00D413C8" w:rsidRPr="00AB655A">
              <w:rPr>
                <w:rFonts w:ascii="Tahoma" w:hAnsi="Tahoma" w:cs="Tahoma"/>
                <w:lang w:val="en-US"/>
              </w:rPr>
              <w:t xml:space="preserve">  </w:t>
            </w:r>
          </w:p>
          <w:p w14:paraId="00C2C0F4" w14:textId="6BFCB4C3" w:rsidR="005863EE" w:rsidRPr="00AB655A" w:rsidRDefault="003735F1" w:rsidP="00DB189D">
            <w:pPr>
              <w:spacing w:line="288" w:lineRule="auto"/>
              <w:jc w:val="both"/>
              <w:rPr>
                <w:rFonts w:ascii="Tahoma" w:hAnsi="Tahoma" w:cs="Tahoma"/>
                <w:lang w:val="en-US"/>
              </w:rPr>
            </w:pPr>
            <w:r w:rsidRPr="00AB655A">
              <w:rPr>
                <w:rFonts w:ascii="Tahoma" w:hAnsi="Tahoma" w:cs="Tahoma"/>
                <w:lang w:val="en-US"/>
              </w:rPr>
              <w:t>Gender Units: entities created by the Federal Public Administration, also known as Gender Equality Units. These are mechanisms that promote and implement an institutional and organizational culture with a gender equality and non-discrimination approach. They</w:t>
            </w:r>
            <w:r w:rsidR="00DB189D" w:rsidRPr="00AB655A">
              <w:rPr>
                <w:rFonts w:ascii="Tahoma" w:hAnsi="Tahoma" w:cs="Tahoma"/>
                <w:lang w:val="en-US"/>
              </w:rPr>
              <w:t xml:space="preserve"> also foster the inclusion of this approach into the design, programming, budget, execution, and evaluation of institutional public policies.</w:t>
            </w:r>
            <w:r w:rsidR="005863EE" w:rsidRPr="00AB655A">
              <w:rPr>
                <w:rStyle w:val="FootnoteReference"/>
                <w:rFonts w:ascii="Tahoma" w:hAnsi="Tahoma" w:cs="Tahoma"/>
                <w:lang w:val="en-US"/>
              </w:rPr>
              <w:footnoteReference w:id="11"/>
            </w:r>
          </w:p>
          <w:p w14:paraId="71945FBC" w14:textId="77777777" w:rsidR="006333B0" w:rsidRPr="00AB655A" w:rsidRDefault="006333B0" w:rsidP="00D413C8">
            <w:pPr>
              <w:spacing w:line="288" w:lineRule="auto"/>
              <w:jc w:val="both"/>
              <w:rPr>
                <w:rFonts w:ascii="Tahoma" w:hAnsi="Tahoma" w:cs="Tahoma"/>
                <w:lang w:val="en-US"/>
              </w:rPr>
            </w:pPr>
          </w:p>
          <w:p w14:paraId="51B520A6" w14:textId="19A8FF9C" w:rsidR="00065B9D" w:rsidRPr="00AB655A" w:rsidRDefault="00B04C59" w:rsidP="00792C7A">
            <w:pPr>
              <w:spacing w:line="288" w:lineRule="auto"/>
              <w:jc w:val="both"/>
              <w:rPr>
                <w:rFonts w:ascii="Tahoma" w:hAnsi="Tahoma" w:cs="Tahoma"/>
                <w:lang w:val="en-US"/>
              </w:rPr>
            </w:pPr>
            <w:r w:rsidRPr="00AB655A">
              <w:rPr>
                <w:rFonts w:ascii="Tahoma" w:hAnsi="Tahoma" w:cs="Tahoma"/>
                <w:lang w:val="en-US"/>
              </w:rPr>
              <w:t xml:space="preserve">The Manual for the Job Descriptions of the Gender Equality Unit of the </w:t>
            </w:r>
            <w:r w:rsidR="00517FC9" w:rsidRPr="00AB655A">
              <w:rPr>
                <w:rFonts w:ascii="Tahoma" w:hAnsi="Tahoma" w:cs="Tahoma"/>
                <w:lang w:val="en-US"/>
              </w:rPr>
              <w:t>Ministry</w:t>
            </w:r>
            <w:r w:rsidRPr="00AB655A">
              <w:rPr>
                <w:rFonts w:ascii="Tahoma" w:hAnsi="Tahoma" w:cs="Tahoma"/>
                <w:lang w:val="en-US"/>
              </w:rPr>
              <w:t xml:space="preserve"> of Labor and Social Security of El Salvador provi</w:t>
            </w:r>
            <w:r w:rsidR="00792C7A" w:rsidRPr="00AB655A">
              <w:rPr>
                <w:rFonts w:ascii="Tahoma" w:hAnsi="Tahoma" w:cs="Tahoma"/>
                <w:lang w:val="en-US"/>
              </w:rPr>
              <w:t>d</w:t>
            </w:r>
            <w:r w:rsidRPr="00AB655A">
              <w:rPr>
                <w:rFonts w:ascii="Tahoma" w:hAnsi="Tahoma" w:cs="Tahoma"/>
                <w:lang w:val="en-US"/>
              </w:rPr>
              <w:t>es a definition for the Unit’s Mission: Support, develop, design, coordinate, accompany, promote, and disseminate policies, strategies, and actions to include a gender approach in the planning, execution, and evaluation of the Ministry’s work. These efforts will take place based</w:t>
            </w:r>
            <w:r w:rsidR="00E33BC5" w:rsidRPr="00AB655A">
              <w:rPr>
                <w:rFonts w:ascii="Tahoma" w:hAnsi="Tahoma" w:cs="Tahoma"/>
                <w:lang w:val="en-US"/>
              </w:rPr>
              <w:t xml:space="preserve"> on current legal and administrative stipulations and national and international </w:t>
            </w:r>
            <w:r w:rsidR="007C2A8E" w:rsidRPr="00AB655A">
              <w:rPr>
                <w:rFonts w:ascii="Tahoma" w:hAnsi="Tahoma" w:cs="Tahoma"/>
                <w:lang w:val="en-US"/>
              </w:rPr>
              <w:t>provisions in favor of female workers</w:t>
            </w:r>
            <w:r w:rsidR="00792C7A" w:rsidRPr="00AB655A">
              <w:rPr>
                <w:rFonts w:ascii="Tahoma" w:hAnsi="Tahoma" w:cs="Tahoma"/>
                <w:lang w:val="en-US"/>
              </w:rPr>
              <w:t xml:space="preserve">, and on the National Policy on Women and other policies concerning the protection of women’s rights, </w:t>
            </w:r>
            <w:r w:rsidR="00517FC9" w:rsidRPr="00AB655A">
              <w:rPr>
                <w:rFonts w:ascii="Tahoma" w:hAnsi="Tahoma" w:cs="Tahoma"/>
                <w:lang w:val="en-US"/>
              </w:rPr>
              <w:t>especially</w:t>
            </w:r>
            <w:r w:rsidR="00792C7A" w:rsidRPr="00AB655A">
              <w:rPr>
                <w:rFonts w:ascii="Tahoma" w:hAnsi="Tahoma" w:cs="Tahoma"/>
                <w:lang w:val="en-US"/>
              </w:rPr>
              <w:t xml:space="preserve"> in the labor sphere, </w:t>
            </w:r>
            <w:r w:rsidR="00792C7A" w:rsidRPr="00AB655A">
              <w:rPr>
                <w:rFonts w:ascii="Tahoma" w:hAnsi="Tahoma" w:cs="Tahoma"/>
                <w:lang w:val="en-US"/>
              </w:rPr>
              <w:lastRenderedPageBreak/>
              <w:t>to achieve the mainstreaming of a gender approach in the responsibilities of the Ministry of Labor and Social Security.</w:t>
            </w:r>
            <w:r w:rsidR="00792C7A" w:rsidRPr="00AB655A">
              <w:rPr>
                <w:rStyle w:val="FootnoteReference"/>
                <w:rFonts w:ascii="Tahoma" w:hAnsi="Tahoma" w:cs="Tahoma"/>
                <w:lang w:val="en-US"/>
              </w:rPr>
              <w:t xml:space="preserve"> </w:t>
            </w:r>
            <w:r w:rsidR="00792C7A" w:rsidRPr="00AB655A">
              <w:rPr>
                <w:rStyle w:val="FootnoteReference"/>
                <w:rFonts w:ascii="Tahoma" w:hAnsi="Tahoma" w:cs="Tahoma"/>
                <w:lang w:val="en-US"/>
              </w:rPr>
              <w:footnoteReference w:id="12"/>
            </w:r>
          </w:p>
        </w:tc>
      </w:tr>
    </w:tbl>
    <w:p w14:paraId="4A1BD54A" w14:textId="77777777" w:rsidR="00680375" w:rsidRPr="00AB655A" w:rsidRDefault="00680375" w:rsidP="00486EE3">
      <w:pPr>
        <w:spacing w:line="288" w:lineRule="auto"/>
        <w:jc w:val="both"/>
        <w:rPr>
          <w:rFonts w:ascii="Tahoma" w:hAnsi="Tahoma" w:cs="Tahoma"/>
          <w:sz w:val="22"/>
          <w:szCs w:val="22"/>
          <w:lang w:val="en-US"/>
        </w:rPr>
      </w:pPr>
    </w:p>
    <w:p w14:paraId="3CE1E896" w14:textId="4D01EE2F" w:rsidR="005D6E34" w:rsidRPr="00AB655A" w:rsidRDefault="51608F5D" w:rsidP="00E77D1C">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These definitions have </w:t>
      </w:r>
      <w:r w:rsidR="6C822DF4" w:rsidRPr="2425A842">
        <w:rPr>
          <w:rFonts w:ascii="Tahoma" w:hAnsi="Tahoma" w:cs="Tahoma"/>
          <w:sz w:val="22"/>
          <w:szCs w:val="22"/>
          <w:lang w:val="en-US"/>
        </w:rPr>
        <w:t xml:space="preserve">common </w:t>
      </w:r>
      <w:r w:rsidRPr="2425A842">
        <w:rPr>
          <w:rFonts w:ascii="Tahoma" w:hAnsi="Tahoma" w:cs="Tahoma"/>
          <w:sz w:val="22"/>
          <w:szCs w:val="22"/>
          <w:lang w:val="en-US"/>
        </w:rPr>
        <w:t xml:space="preserve">elements, and the variations are a result of the different contexts </w:t>
      </w:r>
      <w:r w:rsidR="61D8478A" w:rsidRPr="2425A842">
        <w:rPr>
          <w:rFonts w:ascii="Tahoma" w:hAnsi="Tahoma" w:cs="Tahoma"/>
          <w:sz w:val="22"/>
          <w:szCs w:val="22"/>
          <w:lang w:val="en-US"/>
        </w:rPr>
        <w:t>in which</w:t>
      </w:r>
      <w:r w:rsidR="083D16FD" w:rsidRPr="2425A842">
        <w:rPr>
          <w:rFonts w:ascii="Tahoma" w:hAnsi="Tahoma" w:cs="Tahoma"/>
          <w:sz w:val="22"/>
          <w:szCs w:val="22"/>
          <w:lang w:val="en-US"/>
        </w:rPr>
        <w:t xml:space="preserve"> these definiti</w:t>
      </w:r>
      <w:r w:rsidRPr="2425A842">
        <w:rPr>
          <w:rFonts w:ascii="Tahoma" w:hAnsi="Tahoma" w:cs="Tahoma"/>
          <w:sz w:val="22"/>
          <w:szCs w:val="22"/>
          <w:lang w:val="en-US"/>
        </w:rPr>
        <w:t xml:space="preserve">ons came to be. </w:t>
      </w:r>
      <w:r w:rsidR="2BCA5887" w:rsidRPr="2425A842">
        <w:rPr>
          <w:rFonts w:ascii="Tahoma" w:hAnsi="Tahoma" w:cs="Tahoma"/>
          <w:sz w:val="22"/>
          <w:szCs w:val="22"/>
          <w:lang w:val="en-US"/>
        </w:rPr>
        <w:t xml:space="preserve">This highlights the need </w:t>
      </w:r>
      <w:r w:rsidR="2BCA5887" w:rsidRPr="2425A842">
        <w:rPr>
          <w:rFonts w:ascii="Tahoma" w:hAnsi="Tahoma" w:cs="Tahoma"/>
          <w:sz w:val="22"/>
          <w:szCs w:val="22"/>
          <w:lang w:val="en-US"/>
        </w:rPr>
        <w:t>to establish</w:t>
      </w:r>
      <w:r w:rsidR="2BCA5887" w:rsidRPr="2425A842">
        <w:rPr>
          <w:rFonts w:ascii="Tahoma" w:hAnsi="Tahoma" w:cs="Tahoma"/>
          <w:sz w:val="22"/>
          <w:szCs w:val="22"/>
          <w:lang w:val="en-US"/>
        </w:rPr>
        <w:t xml:space="preserve"> a definition of the Mission of the Specialized Gender Unit that reflects each institution’s characteristics and context.</w:t>
      </w:r>
    </w:p>
    <w:p w14:paraId="76752708" w14:textId="13A8EFE3" w:rsidR="00C47F96" w:rsidRPr="00AB655A" w:rsidRDefault="61BC7192" w:rsidP="00730017">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definition of the Mission is crucial because it communicates the responsibilities of the Specialized Gender Unit, while explaining and </w:t>
      </w:r>
      <w:r w:rsidRPr="00AB655A">
        <w:rPr>
          <w:rFonts w:ascii="Tahoma" w:hAnsi="Tahoma" w:cs="Tahoma"/>
          <w:sz w:val="22"/>
          <w:szCs w:val="22"/>
          <w:lang w:val="en-US"/>
        </w:rPr>
        <w:t>directing</w:t>
      </w:r>
      <w:r w:rsidRPr="00AB655A">
        <w:rPr>
          <w:rFonts w:ascii="Tahoma" w:hAnsi="Tahoma" w:cs="Tahoma"/>
          <w:sz w:val="22"/>
          <w:szCs w:val="22"/>
          <w:lang w:val="en-US"/>
        </w:rPr>
        <w:t xml:space="preserve"> its work</w:t>
      </w:r>
      <w:r w:rsidR="68B2B81A" w:rsidRPr="00AB655A">
        <w:rPr>
          <w:rFonts w:ascii="Tahoma" w:hAnsi="Tahoma" w:cs="Tahoma"/>
          <w:sz w:val="22"/>
          <w:szCs w:val="22"/>
          <w:lang w:val="en-US"/>
        </w:rPr>
        <w:t xml:space="preserve"> </w:t>
      </w:r>
      <w:r w:rsidR="68B2B81A" w:rsidRPr="00AB655A">
        <w:rPr>
          <w:rFonts w:ascii="Tahoma" w:hAnsi="Tahoma" w:cs="Tahoma"/>
          <w:sz w:val="22"/>
          <w:szCs w:val="22"/>
          <w:lang w:val="en-US"/>
        </w:rPr>
        <w:t>to</w:t>
      </w:r>
      <w:r w:rsidR="68B2B81A" w:rsidRPr="00AB655A">
        <w:rPr>
          <w:rFonts w:ascii="Tahoma" w:hAnsi="Tahoma" w:cs="Tahoma"/>
          <w:sz w:val="22"/>
          <w:szCs w:val="22"/>
          <w:lang w:val="en-US"/>
        </w:rPr>
        <w:t xml:space="preserve"> the people that are part of the Unit and for the rest of the institution.</w:t>
      </w:r>
      <w:r w:rsidR="00730017" w:rsidRPr="00AB655A">
        <w:rPr>
          <w:rStyle w:val="FootnoteReference"/>
          <w:rFonts w:ascii="Tahoma" w:hAnsi="Tahoma" w:cs="Tahoma"/>
          <w:sz w:val="22"/>
          <w:szCs w:val="22"/>
          <w:lang w:val="en-US"/>
        </w:rPr>
        <w:footnoteReference w:id="13"/>
      </w:r>
    </w:p>
    <w:p w14:paraId="201FE0FE" w14:textId="3789371A" w:rsidR="008667C6" w:rsidRPr="00AB655A" w:rsidRDefault="00C47F96" w:rsidP="00E77D1C">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To facilitate the process of defining the Mission of the Specialized Gender Unit, the Technical Secretariat proposes a set of questions; the responses will </w:t>
      </w:r>
      <w:r w:rsidR="00F11FF3" w:rsidRPr="00AB655A">
        <w:rPr>
          <w:rFonts w:ascii="Tahoma" w:hAnsi="Tahoma" w:cs="Tahoma"/>
          <w:sz w:val="22"/>
          <w:szCs w:val="22"/>
          <w:lang w:val="en-US"/>
        </w:rPr>
        <w:t>help establish it.</w:t>
      </w:r>
      <w:r w:rsidR="004E573A" w:rsidRPr="00AB655A">
        <w:rPr>
          <w:rStyle w:val="FootnoteReference"/>
          <w:rFonts w:ascii="Tahoma" w:hAnsi="Tahoma" w:cs="Tahoma"/>
          <w:sz w:val="22"/>
          <w:szCs w:val="22"/>
          <w:lang w:val="en-US"/>
        </w:rPr>
        <w:footnoteReference w:id="14"/>
      </w:r>
    </w:p>
    <w:p w14:paraId="4C597BD0" w14:textId="77777777" w:rsidR="0066428D" w:rsidRPr="00AB655A" w:rsidRDefault="0066428D" w:rsidP="00E77D1C">
      <w:pPr>
        <w:spacing w:line="288" w:lineRule="auto"/>
        <w:jc w:val="both"/>
        <w:rPr>
          <w:rFonts w:ascii="Tahoma" w:hAnsi="Tahoma" w:cs="Tahoma"/>
          <w:sz w:val="22"/>
          <w:szCs w:val="22"/>
          <w:lang w:val="en-US"/>
        </w:rPr>
      </w:pPr>
    </w:p>
    <w:tbl>
      <w:tblPr>
        <w:tblStyle w:val="TableGrid"/>
        <w:tblW w:w="0" w:type="auto"/>
        <w:tblLook w:val="04A0" w:firstRow="1" w:lastRow="0" w:firstColumn="1" w:lastColumn="0" w:noHBand="0" w:noVBand="1"/>
      </w:tblPr>
      <w:tblGrid>
        <w:gridCol w:w="4247"/>
        <w:gridCol w:w="4247"/>
      </w:tblGrid>
      <w:tr w:rsidR="003E6188" w:rsidRPr="00ED097B" w14:paraId="3E6B9D68" w14:textId="77777777" w:rsidTr="2425A842">
        <w:tc>
          <w:tcPr>
            <w:tcW w:w="4247" w:type="dxa"/>
            <w:shd w:val="clear" w:color="auto" w:fill="A9D5E7" w:themeFill="accent1" w:themeFillTint="66"/>
            <w:vAlign w:val="center"/>
          </w:tcPr>
          <w:p w14:paraId="0ED6C763" w14:textId="225E98C9" w:rsidR="003E6188" w:rsidRPr="00AB655A" w:rsidRDefault="003E6188" w:rsidP="00E07B31">
            <w:pPr>
              <w:spacing w:line="288" w:lineRule="auto"/>
              <w:jc w:val="center"/>
              <w:rPr>
                <w:rFonts w:ascii="Tahoma" w:hAnsi="Tahoma" w:cs="Tahoma"/>
                <w:b/>
                <w:bCs/>
                <w:i/>
                <w:iCs/>
                <w:sz w:val="22"/>
                <w:szCs w:val="22"/>
                <w:lang w:val="en-US"/>
              </w:rPr>
            </w:pPr>
            <w:r>
              <w:rPr>
                <w:rFonts w:ascii="Tahoma" w:hAnsi="Tahoma" w:cs="Tahoma"/>
                <w:b/>
                <w:bCs/>
                <w:i/>
                <w:iCs/>
                <w:sz w:val="22"/>
                <w:szCs w:val="22"/>
                <w:lang w:val="en-US"/>
              </w:rPr>
              <w:t>QUESTION</w:t>
            </w:r>
          </w:p>
        </w:tc>
        <w:tc>
          <w:tcPr>
            <w:tcW w:w="4247" w:type="dxa"/>
          </w:tcPr>
          <w:p w14:paraId="60ABEB38" w14:textId="6A74B44F" w:rsidR="003E6188" w:rsidRPr="006B2696" w:rsidRDefault="006B2696" w:rsidP="00CA64FD">
            <w:pPr>
              <w:spacing w:line="288" w:lineRule="auto"/>
              <w:jc w:val="both"/>
              <w:rPr>
                <w:rFonts w:ascii="Tahoma" w:hAnsi="Tahoma" w:cs="Tahoma"/>
                <w:b/>
                <w:bCs/>
                <w:sz w:val="22"/>
                <w:szCs w:val="22"/>
                <w:lang w:val="en-US"/>
              </w:rPr>
            </w:pPr>
            <w:r>
              <w:rPr>
                <w:rFonts w:ascii="Tahoma" w:hAnsi="Tahoma" w:cs="Tahoma"/>
                <w:b/>
                <w:bCs/>
                <w:sz w:val="22"/>
                <w:szCs w:val="22"/>
                <w:lang w:val="en-US"/>
              </w:rPr>
              <w:t xml:space="preserve">    </w:t>
            </w:r>
            <w:r w:rsidR="003E6188" w:rsidRPr="006B2696">
              <w:rPr>
                <w:rFonts w:ascii="Tahoma" w:hAnsi="Tahoma" w:cs="Tahoma"/>
                <w:b/>
                <w:bCs/>
                <w:sz w:val="22"/>
                <w:szCs w:val="22"/>
                <w:lang w:val="en-US"/>
              </w:rPr>
              <w:t>ELE</w:t>
            </w:r>
            <w:r w:rsidRPr="006B2696">
              <w:rPr>
                <w:rFonts w:ascii="Tahoma" w:hAnsi="Tahoma" w:cs="Tahoma"/>
                <w:b/>
                <w:bCs/>
                <w:sz w:val="22"/>
                <w:szCs w:val="22"/>
                <w:lang w:val="en-US"/>
              </w:rPr>
              <w:t>MENTS FOR RESPONSE</w:t>
            </w:r>
          </w:p>
        </w:tc>
      </w:tr>
      <w:tr w:rsidR="00CA64FD" w:rsidRPr="00ED097B" w14:paraId="0CD9A7ED" w14:textId="77777777" w:rsidTr="2425A842">
        <w:tc>
          <w:tcPr>
            <w:tcW w:w="4247" w:type="dxa"/>
            <w:shd w:val="clear" w:color="auto" w:fill="A9D5E7" w:themeFill="accent1" w:themeFillTint="66"/>
            <w:vAlign w:val="center"/>
          </w:tcPr>
          <w:p w14:paraId="75E57966" w14:textId="6CA11C86" w:rsidR="00CA64FD" w:rsidRPr="00AB655A" w:rsidRDefault="00190A9A" w:rsidP="00E07B31">
            <w:pPr>
              <w:spacing w:line="288" w:lineRule="auto"/>
              <w:jc w:val="center"/>
              <w:rPr>
                <w:rFonts w:ascii="Tahoma" w:hAnsi="Tahoma" w:cs="Tahoma"/>
                <w:sz w:val="22"/>
                <w:szCs w:val="22"/>
                <w:lang w:val="en-US"/>
              </w:rPr>
            </w:pPr>
            <w:r w:rsidRPr="00AB655A">
              <w:rPr>
                <w:rFonts w:ascii="Tahoma" w:hAnsi="Tahoma" w:cs="Tahoma"/>
                <w:b/>
                <w:bCs/>
                <w:i/>
                <w:iCs/>
                <w:sz w:val="22"/>
                <w:szCs w:val="22"/>
                <w:lang w:val="en-US"/>
              </w:rPr>
              <w:t>What is the scope of action of the gender unit?</w:t>
            </w:r>
          </w:p>
          <w:p w14:paraId="50C95041" w14:textId="77777777" w:rsidR="00CA64FD" w:rsidRPr="00AB655A" w:rsidRDefault="00CA64FD" w:rsidP="00E07B31">
            <w:pPr>
              <w:spacing w:line="288" w:lineRule="auto"/>
              <w:jc w:val="center"/>
              <w:rPr>
                <w:rFonts w:ascii="Tahoma" w:hAnsi="Tahoma" w:cs="Tahoma"/>
                <w:sz w:val="22"/>
                <w:szCs w:val="22"/>
                <w:lang w:val="en-US"/>
              </w:rPr>
            </w:pPr>
          </w:p>
        </w:tc>
        <w:tc>
          <w:tcPr>
            <w:tcW w:w="4247" w:type="dxa"/>
          </w:tcPr>
          <w:p w14:paraId="3C038F33" w14:textId="7145C5E0" w:rsidR="00CA64FD" w:rsidRPr="00AB655A" w:rsidRDefault="00190A9A" w:rsidP="00CA64FD">
            <w:pPr>
              <w:spacing w:line="288" w:lineRule="auto"/>
              <w:jc w:val="both"/>
              <w:rPr>
                <w:rFonts w:ascii="Tahoma" w:hAnsi="Tahoma" w:cs="Tahoma"/>
                <w:sz w:val="22"/>
                <w:szCs w:val="22"/>
                <w:lang w:val="en-US"/>
              </w:rPr>
            </w:pPr>
            <w:r w:rsidRPr="00AB655A">
              <w:rPr>
                <w:rFonts w:ascii="Tahoma" w:hAnsi="Tahoma" w:cs="Tahoma"/>
                <w:sz w:val="22"/>
                <w:szCs w:val="22"/>
                <w:lang w:val="en-US"/>
              </w:rPr>
              <w:t>Within and outside the institution.</w:t>
            </w:r>
          </w:p>
          <w:p w14:paraId="5618B4B7" w14:textId="77777777" w:rsidR="00CA64FD" w:rsidRPr="00AB655A" w:rsidRDefault="00CA64FD" w:rsidP="00E77D1C">
            <w:pPr>
              <w:spacing w:line="288" w:lineRule="auto"/>
              <w:jc w:val="both"/>
              <w:rPr>
                <w:rFonts w:ascii="Tahoma" w:hAnsi="Tahoma" w:cs="Tahoma"/>
                <w:sz w:val="22"/>
                <w:szCs w:val="22"/>
                <w:lang w:val="en-US"/>
              </w:rPr>
            </w:pPr>
          </w:p>
        </w:tc>
      </w:tr>
      <w:tr w:rsidR="00CA64FD" w:rsidRPr="00ED097B" w14:paraId="738998B6" w14:textId="77777777" w:rsidTr="2425A842">
        <w:tc>
          <w:tcPr>
            <w:tcW w:w="4247" w:type="dxa"/>
            <w:vAlign w:val="center"/>
          </w:tcPr>
          <w:p w14:paraId="5B1107C1" w14:textId="31BF12FD" w:rsidR="00CA64FD" w:rsidRPr="00AB655A" w:rsidRDefault="00190A9A" w:rsidP="00E07B31">
            <w:pPr>
              <w:spacing w:line="288" w:lineRule="auto"/>
              <w:jc w:val="center"/>
              <w:rPr>
                <w:rFonts w:ascii="Tahoma" w:hAnsi="Tahoma" w:cs="Tahoma"/>
                <w:sz w:val="22"/>
                <w:szCs w:val="22"/>
                <w:lang w:val="en-US"/>
              </w:rPr>
            </w:pPr>
            <w:r w:rsidRPr="00AB655A">
              <w:rPr>
                <w:rFonts w:ascii="Tahoma" w:hAnsi="Tahoma" w:cs="Tahoma"/>
                <w:b/>
                <w:bCs/>
                <w:i/>
                <w:iCs/>
                <w:sz w:val="22"/>
                <w:szCs w:val="22"/>
                <w:lang w:val="en-US"/>
              </w:rPr>
              <w:t>How does it relate to the institution?</w:t>
            </w:r>
          </w:p>
          <w:p w14:paraId="150BE19A" w14:textId="77777777" w:rsidR="00CA64FD" w:rsidRPr="00AB655A" w:rsidRDefault="00CA64FD" w:rsidP="00E07B31">
            <w:pPr>
              <w:spacing w:line="288" w:lineRule="auto"/>
              <w:jc w:val="center"/>
              <w:rPr>
                <w:rFonts w:ascii="Tahoma" w:hAnsi="Tahoma" w:cs="Tahoma"/>
                <w:sz w:val="22"/>
                <w:szCs w:val="22"/>
                <w:lang w:val="en-US"/>
              </w:rPr>
            </w:pPr>
          </w:p>
        </w:tc>
        <w:tc>
          <w:tcPr>
            <w:tcW w:w="4247" w:type="dxa"/>
            <w:shd w:val="clear" w:color="auto" w:fill="A9D5E7" w:themeFill="accent1" w:themeFillTint="66"/>
          </w:tcPr>
          <w:p w14:paraId="71CA5C84" w14:textId="62F71665" w:rsidR="00CA64FD" w:rsidRPr="00AB655A" w:rsidRDefault="74B38387" w:rsidP="00CA64FD">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It looks for commitment and coordination with all departments and units that are part of the institution, while </w:t>
            </w:r>
            <w:r w:rsidR="27D2C718" w:rsidRPr="2425A842">
              <w:rPr>
                <w:rFonts w:ascii="Tahoma" w:hAnsi="Tahoma" w:cs="Tahoma"/>
                <w:sz w:val="22"/>
                <w:szCs w:val="22"/>
                <w:lang w:val="en-US"/>
              </w:rPr>
              <w:t>integrating</w:t>
            </w:r>
            <w:r w:rsidRPr="2425A842">
              <w:rPr>
                <w:rFonts w:ascii="Tahoma" w:hAnsi="Tahoma" w:cs="Tahoma"/>
                <w:sz w:val="22"/>
                <w:szCs w:val="22"/>
                <w:lang w:val="en-US"/>
              </w:rPr>
              <w:t xml:space="preserve"> the gender</w:t>
            </w:r>
            <w:r w:rsidR="41E54D93" w:rsidRPr="2425A842">
              <w:rPr>
                <w:rFonts w:ascii="Tahoma" w:hAnsi="Tahoma" w:cs="Tahoma"/>
                <w:sz w:val="22"/>
                <w:szCs w:val="22"/>
                <w:lang w:val="en-US"/>
              </w:rPr>
              <w:t xml:space="preserve"> equality and</w:t>
            </w:r>
            <w:r w:rsidRPr="2425A842">
              <w:rPr>
                <w:rFonts w:ascii="Tahoma" w:hAnsi="Tahoma" w:cs="Tahoma"/>
                <w:sz w:val="22"/>
                <w:szCs w:val="22"/>
                <w:lang w:val="en-US"/>
              </w:rPr>
              <w:t xml:space="preserve"> equity criteria in institutional actions.</w:t>
            </w:r>
          </w:p>
          <w:p w14:paraId="03DA94C2" w14:textId="77777777" w:rsidR="00CA64FD" w:rsidRPr="00AB655A" w:rsidRDefault="00CA64FD" w:rsidP="00E77D1C">
            <w:pPr>
              <w:spacing w:line="288" w:lineRule="auto"/>
              <w:jc w:val="both"/>
              <w:rPr>
                <w:rFonts w:ascii="Tahoma" w:hAnsi="Tahoma" w:cs="Tahoma"/>
                <w:sz w:val="22"/>
                <w:szCs w:val="22"/>
                <w:lang w:val="en-US"/>
              </w:rPr>
            </w:pPr>
          </w:p>
        </w:tc>
      </w:tr>
      <w:tr w:rsidR="00CA64FD" w:rsidRPr="00ED097B" w14:paraId="397C252F" w14:textId="77777777" w:rsidTr="2425A842">
        <w:tc>
          <w:tcPr>
            <w:tcW w:w="4247" w:type="dxa"/>
            <w:shd w:val="clear" w:color="auto" w:fill="A9D5E7" w:themeFill="accent1" w:themeFillTint="66"/>
            <w:vAlign w:val="center"/>
          </w:tcPr>
          <w:p w14:paraId="4F3AE32C" w14:textId="4E152799" w:rsidR="00CA64FD" w:rsidRPr="00AB655A" w:rsidRDefault="00BC38AF" w:rsidP="00E07B31">
            <w:pPr>
              <w:spacing w:line="288" w:lineRule="auto"/>
              <w:jc w:val="center"/>
              <w:rPr>
                <w:rFonts w:ascii="Tahoma" w:hAnsi="Tahoma" w:cs="Tahoma"/>
                <w:b/>
                <w:bCs/>
                <w:i/>
                <w:iCs/>
                <w:sz w:val="22"/>
                <w:szCs w:val="22"/>
                <w:lang w:val="en-US"/>
              </w:rPr>
            </w:pPr>
            <w:r w:rsidRPr="00AB655A">
              <w:rPr>
                <w:rFonts w:ascii="Tahoma" w:hAnsi="Tahoma" w:cs="Tahoma"/>
                <w:b/>
                <w:bCs/>
                <w:i/>
                <w:iCs/>
                <w:sz w:val="22"/>
                <w:szCs w:val="22"/>
                <w:lang w:val="en-US"/>
              </w:rPr>
              <w:t>How is it included in the structure of the inst</w:t>
            </w:r>
            <w:r w:rsidR="003F31D8" w:rsidRPr="00AB655A">
              <w:rPr>
                <w:rFonts w:ascii="Tahoma" w:hAnsi="Tahoma" w:cs="Tahoma"/>
                <w:b/>
                <w:bCs/>
                <w:i/>
                <w:iCs/>
                <w:sz w:val="22"/>
                <w:szCs w:val="22"/>
                <w:lang w:val="en-US"/>
              </w:rPr>
              <w:t>it</w:t>
            </w:r>
            <w:r w:rsidRPr="00AB655A">
              <w:rPr>
                <w:rFonts w:ascii="Tahoma" w:hAnsi="Tahoma" w:cs="Tahoma"/>
                <w:b/>
                <w:bCs/>
                <w:i/>
                <w:iCs/>
                <w:sz w:val="22"/>
                <w:szCs w:val="22"/>
                <w:lang w:val="en-US"/>
              </w:rPr>
              <w:t>ution?</w:t>
            </w:r>
          </w:p>
          <w:p w14:paraId="00B46DD7" w14:textId="77777777" w:rsidR="00CA64FD" w:rsidRPr="00AB655A" w:rsidRDefault="00CA64FD" w:rsidP="00E07B31">
            <w:pPr>
              <w:spacing w:line="288" w:lineRule="auto"/>
              <w:jc w:val="center"/>
              <w:rPr>
                <w:rFonts w:ascii="Tahoma" w:hAnsi="Tahoma" w:cs="Tahoma"/>
                <w:sz w:val="22"/>
                <w:szCs w:val="22"/>
                <w:lang w:val="en-US"/>
              </w:rPr>
            </w:pPr>
          </w:p>
        </w:tc>
        <w:tc>
          <w:tcPr>
            <w:tcW w:w="4247" w:type="dxa"/>
          </w:tcPr>
          <w:p w14:paraId="212A00BA" w14:textId="53ED5BEE" w:rsidR="00CA64FD" w:rsidRPr="00AB655A" w:rsidRDefault="00BC38AF" w:rsidP="00CA64FD">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It has high-level political recognition in </w:t>
            </w:r>
            <w:proofErr w:type="gramStart"/>
            <w:r w:rsidRPr="00AB655A">
              <w:rPr>
                <w:rFonts w:ascii="Tahoma" w:hAnsi="Tahoma" w:cs="Tahoma"/>
                <w:sz w:val="22"/>
                <w:szCs w:val="22"/>
                <w:lang w:val="en-US"/>
              </w:rPr>
              <w:t>decision-making,</w:t>
            </w:r>
            <w:r w:rsidR="00EC075B">
              <w:rPr>
                <w:rFonts w:ascii="Tahoma" w:hAnsi="Tahoma" w:cs="Tahoma"/>
                <w:sz w:val="22"/>
                <w:szCs w:val="22"/>
                <w:lang w:val="en-US"/>
              </w:rPr>
              <w:t xml:space="preserve"> </w:t>
            </w:r>
            <w:r w:rsidRPr="00AB655A">
              <w:rPr>
                <w:rFonts w:ascii="Tahoma" w:hAnsi="Tahoma" w:cs="Tahoma"/>
                <w:sz w:val="22"/>
                <w:szCs w:val="22"/>
                <w:lang w:val="en-US"/>
              </w:rPr>
              <w:t>and</w:t>
            </w:r>
            <w:proofErr w:type="gramEnd"/>
            <w:r w:rsidRPr="00AB655A">
              <w:rPr>
                <w:rFonts w:ascii="Tahoma" w:hAnsi="Tahoma" w:cs="Tahoma"/>
                <w:sz w:val="22"/>
                <w:szCs w:val="22"/>
                <w:lang w:val="en-US"/>
              </w:rPr>
              <w:t xml:space="preserve"> designated technical and financial resources.</w:t>
            </w:r>
          </w:p>
          <w:p w14:paraId="24E67DFD" w14:textId="77777777" w:rsidR="00CA64FD" w:rsidRPr="00AB655A" w:rsidRDefault="00CA64FD" w:rsidP="00CA64FD">
            <w:pPr>
              <w:spacing w:line="288" w:lineRule="auto"/>
              <w:jc w:val="both"/>
              <w:rPr>
                <w:rFonts w:ascii="Tahoma" w:hAnsi="Tahoma" w:cs="Tahoma"/>
                <w:sz w:val="22"/>
                <w:szCs w:val="22"/>
                <w:lang w:val="en-US"/>
              </w:rPr>
            </w:pPr>
          </w:p>
        </w:tc>
      </w:tr>
      <w:tr w:rsidR="00CA64FD" w:rsidRPr="00ED097B" w14:paraId="2CEE6506" w14:textId="77777777" w:rsidTr="2425A842">
        <w:tc>
          <w:tcPr>
            <w:tcW w:w="4247" w:type="dxa"/>
            <w:vAlign w:val="center"/>
          </w:tcPr>
          <w:p w14:paraId="786416FF" w14:textId="5B12A307" w:rsidR="00CA64FD" w:rsidRPr="00AB655A" w:rsidRDefault="00BC38AF" w:rsidP="00E07B31">
            <w:pPr>
              <w:spacing w:line="288" w:lineRule="auto"/>
              <w:jc w:val="center"/>
              <w:rPr>
                <w:rFonts w:ascii="Tahoma" w:hAnsi="Tahoma" w:cs="Tahoma"/>
                <w:sz w:val="22"/>
                <w:szCs w:val="22"/>
                <w:lang w:val="en-US"/>
              </w:rPr>
            </w:pPr>
            <w:r w:rsidRPr="00AB655A">
              <w:rPr>
                <w:rFonts w:ascii="Tahoma" w:hAnsi="Tahoma" w:cs="Tahoma"/>
                <w:b/>
                <w:bCs/>
                <w:i/>
                <w:iCs/>
                <w:sz w:val="22"/>
                <w:szCs w:val="22"/>
                <w:lang w:val="en-US"/>
              </w:rPr>
              <w:lastRenderedPageBreak/>
              <w:t>What issues must be addressed using gender criteria?</w:t>
            </w:r>
          </w:p>
          <w:p w14:paraId="6AAB4BFC" w14:textId="77777777" w:rsidR="00CA64FD" w:rsidRPr="00AB655A" w:rsidRDefault="00CA64FD" w:rsidP="00E07B31">
            <w:pPr>
              <w:spacing w:line="288" w:lineRule="auto"/>
              <w:jc w:val="center"/>
              <w:rPr>
                <w:rFonts w:ascii="Tahoma" w:hAnsi="Tahoma" w:cs="Tahoma"/>
                <w:sz w:val="22"/>
                <w:szCs w:val="22"/>
                <w:lang w:val="en-US"/>
              </w:rPr>
            </w:pPr>
          </w:p>
        </w:tc>
        <w:tc>
          <w:tcPr>
            <w:tcW w:w="4247" w:type="dxa"/>
            <w:shd w:val="clear" w:color="auto" w:fill="A9D5E7" w:themeFill="accent1" w:themeFillTint="66"/>
          </w:tcPr>
          <w:p w14:paraId="488EE4DA" w14:textId="5731ADAF" w:rsidR="00CA64FD" w:rsidRPr="00AB655A" w:rsidRDefault="00BC38AF" w:rsidP="00B1165F">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Gender criteria must be included in </w:t>
            </w:r>
            <w:r w:rsidR="004A2D46" w:rsidRPr="00AB655A">
              <w:rPr>
                <w:rFonts w:ascii="Tahoma" w:hAnsi="Tahoma" w:cs="Tahoma"/>
                <w:sz w:val="22"/>
                <w:szCs w:val="22"/>
                <w:lang w:val="en-US"/>
              </w:rPr>
              <w:t xml:space="preserve">the </w:t>
            </w:r>
            <w:r w:rsidRPr="00AB655A">
              <w:rPr>
                <w:rFonts w:ascii="Tahoma" w:hAnsi="Tahoma" w:cs="Tahoma"/>
                <w:sz w:val="22"/>
                <w:szCs w:val="22"/>
                <w:lang w:val="en-US"/>
              </w:rPr>
              <w:t xml:space="preserve">substantial aspects </w:t>
            </w:r>
            <w:r w:rsidR="004A2D46" w:rsidRPr="00AB655A">
              <w:rPr>
                <w:rFonts w:ascii="Tahoma" w:hAnsi="Tahoma" w:cs="Tahoma"/>
                <w:sz w:val="22"/>
                <w:szCs w:val="22"/>
                <w:lang w:val="en-US"/>
              </w:rPr>
              <w:t>of every unit that is part of the institution (including Administration and Finances).</w:t>
            </w:r>
            <w:r w:rsidR="00B1165F">
              <w:rPr>
                <w:rFonts w:ascii="Tahoma" w:hAnsi="Tahoma" w:cs="Tahoma"/>
                <w:sz w:val="22"/>
                <w:szCs w:val="22"/>
                <w:lang w:val="en-US"/>
              </w:rPr>
              <w:t xml:space="preserve"> </w:t>
            </w:r>
            <w:r w:rsidR="004A2D46" w:rsidRPr="00AB655A">
              <w:rPr>
                <w:rFonts w:ascii="Tahoma" w:hAnsi="Tahoma" w:cs="Tahoma"/>
                <w:sz w:val="22"/>
                <w:szCs w:val="22"/>
                <w:lang w:val="en-US"/>
              </w:rPr>
              <w:t>It must</w:t>
            </w:r>
            <w:r w:rsidR="003F31D8" w:rsidRPr="00AB655A">
              <w:rPr>
                <w:rFonts w:ascii="Tahoma" w:hAnsi="Tahoma" w:cs="Tahoma"/>
                <w:sz w:val="22"/>
                <w:szCs w:val="22"/>
                <w:lang w:val="en-US"/>
              </w:rPr>
              <w:t xml:space="preserve"> be</w:t>
            </w:r>
            <w:r w:rsidR="004A2D46" w:rsidRPr="00AB655A">
              <w:rPr>
                <w:rFonts w:ascii="Tahoma" w:hAnsi="Tahoma" w:cs="Tahoma"/>
                <w:sz w:val="22"/>
                <w:szCs w:val="22"/>
                <w:lang w:val="en-US"/>
              </w:rPr>
              <w:t xml:space="preserve"> an integral part of every institutional process and procedure. </w:t>
            </w:r>
          </w:p>
        </w:tc>
      </w:tr>
      <w:tr w:rsidR="00CA64FD" w:rsidRPr="00AB655A" w14:paraId="4A812138" w14:textId="77777777" w:rsidTr="2425A842">
        <w:tc>
          <w:tcPr>
            <w:tcW w:w="4247" w:type="dxa"/>
            <w:shd w:val="clear" w:color="auto" w:fill="A9D5E7" w:themeFill="accent1" w:themeFillTint="66"/>
            <w:vAlign w:val="center"/>
          </w:tcPr>
          <w:p w14:paraId="0269D556" w14:textId="09AAAE02" w:rsidR="00CA64FD" w:rsidRPr="00AB655A" w:rsidRDefault="004A2D46" w:rsidP="00E07B31">
            <w:pPr>
              <w:spacing w:line="288" w:lineRule="auto"/>
              <w:jc w:val="center"/>
              <w:rPr>
                <w:rFonts w:ascii="Tahoma" w:hAnsi="Tahoma" w:cs="Tahoma"/>
                <w:sz w:val="22"/>
                <w:szCs w:val="22"/>
                <w:lang w:val="en-US"/>
              </w:rPr>
            </w:pPr>
            <w:r w:rsidRPr="00AB655A">
              <w:rPr>
                <w:rFonts w:ascii="Tahoma" w:hAnsi="Tahoma" w:cs="Tahoma"/>
                <w:b/>
                <w:bCs/>
                <w:i/>
                <w:iCs/>
                <w:sz w:val="22"/>
                <w:szCs w:val="22"/>
                <w:lang w:val="en-US"/>
              </w:rPr>
              <w:t>What is the goal of mainstreaming a gender approach?</w:t>
            </w:r>
          </w:p>
          <w:p w14:paraId="50A66B40" w14:textId="77777777" w:rsidR="00CA64FD" w:rsidRPr="00AB655A" w:rsidRDefault="00CA64FD" w:rsidP="00E07B31">
            <w:pPr>
              <w:spacing w:line="288" w:lineRule="auto"/>
              <w:jc w:val="center"/>
              <w:rPr>
                <w:rFonts w:ascii="Tahoma" w:hAnsi="Tahoma" w:cs="Tahoma"/>
                <w:sz w:val="22"/>
                <w:szCs w:val="22"/>
                <w:lang w:val="en-US"/>
              </w:rPr>
            </w:pPr>
          </w:p>
        </w:tc>
        <w:tc>
          <w:tcPr>
            <w:tcW w:w="4247" w:type="dxa"/>
          </w:tcPr>
          <w:p w14:paraId="73E23620" w14:textId="44808D76" w:rsidR="004A2D46" w:rsidRPr="00AB655A" w:rsidRDefault="005C12E7" w:rsidP="00CA64FD">
            <w:pPr>
              <w:spacing w:line="288" w:lineRule="auto"/>
              <w:jc w:val="both"/>
              <w:rPr>
                <w:rFonts w:ascii="Tahoma" w:hAnsi="Tahoma" w:cs="Tahoma"/>
                <w:sz w:val="22"/>
                <w:szCs w:val="22"/>
                <w:lang w:val="en-US"/>
              </w:rPr>
            </w:pPr>
            <w:r w:rsidRPr="00AB655A">
              <w:rPr>
                <w:rFonts w:ascii="Tahoma" w:hAnsi="Tahoma" w:cs="Tahoma"/>
                <w:sz w:val="22"/>
                <w:szCs w:val="22"/>
                <w:lang w:val="en-US"/>
              </w:rPr>
              <w:t>Evaluat</w:t>
            </w:r>
            <w:r>
              <w:rPr>
                <w:rFonts w:ascii="Tahoma" w:hAnsi="Tahoma" w:cs="Tahoma"/>
                <w:sz w:val="22"/>
                <w:szCs w:val="22"/>
                <w:lang w:val="en-US"/>
              </w:rPr>
              <w:t>e</w:t>
            </w:r>
            <w:r w:rsidRPr="00AB655A">
              <w:rPr>
                <w:rFonts w:ascii="Tahoma" w:hAnsi="Tahoma" w:cs="Tahoma"/>
                <w:sz w:val="22"/>
                <w:szCs w:val="22"/>
                <w:lang w:val="en-US"/>
              </w:rPr>
              <w:t xml:space="preserve"> </w:t>
            </w:r>
            <w:r w:rsidR="004A2D46" w:rsidRPr="00AB655A">
              <w:rPr>
                <w:rFonts w:ascii="Tahoma" w:hAnsi="Tahoma" w:cs="Tahoma"/>
                <w:sz w:val="22"/>
                <w:szCs w:val="22"/>
                <w:lang w:val="en-US"/>
              </w:rPr>
              <w:t xml:space="preserve">the implications for women and men of any </w:t>
            </w:r>
            <w:r w:rsidR="002D7798" w:rsidRPr="00AB655A">
              <w:rPr>
                <w:rFonts w:ascii="Tahoma" w:hAnsi="Tahoma" w:cs="Tahoma"/>
                <w:sz w:val="22"/>
                <w:szCs w:val="22"/>
                <w:lang w:val="en-US"/>
              </w:rPr>
              <w:t xml:space="preserve">planned activity, including legislation, policies, or programs in any area and at all levels. </w:t>
            </w:r>
          </w:p>
          <w:p w14:paraId="5A266E18" w14:textId="6AC051BE" w:rsidR="002D7798" w:rsidRPr="00AB655A" w:rsidRDefault="002D7798" w:rsidP="00CA64FD">
            <w:pPr>
              <w:spacing w:line="288" w:lineRule="auto"/>
              <w:jc w:val="both"/>
              <w:rPr>
                <w:rFonts w:ascii="Tahoma" w:hAnsi="Tahoma" w:cs="Tahoma"/>
                <w:sz w:val="22"/>
                <w:szCs w:val="22"/>
                <w:lang w:val="en-US"/>
              </w:rPr>
            </w:pPr>
            <w:r w:rsidRPr="00AB655A">
              <w:rPr>
                <w:rFonts w:ascii="Tahoma" w:hAnsi="Tahoma" w:cs="Tahoma"/>
                <w:sz w:val="22"/>
                <w:szCs w:val="22"/>
                <w:lang w:val="en-US"/>
              </w:rPr>
              <w:t>Eliminate gender gaps in the labor sphere.</w:t>
            </w:r>
          </w:p>
          <w:p w14:paraId="6F0CE2DA" w14:textId="35FAEF4D" w:rsidR="002D7798" w:rsidRPr="00AB655A" w:rsidRDefault="002D7798" w:rsidP="00CA64FD">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Promote a new culture based on gender </w:t>
            </w:r>
            <w:r w:rsidR="001C202B">
              <w:rPr>
                <w:rFonts w:ascii="Tahoma" w:hAnsi="Tahoma" w:cs="Tahoma"/>
                <w:sz w:val="22"/>
                <w:szCs w:val="22"/>
                <w:lang w:val="en-US"/>
              </w:rPr>
              <w:t>equality</w:t>
            </w:r>
            <w:r w:rsidRPr="00AB655A">
              <w:rPr>
                <w:rFonts w:ascii="Tahoma" w:hAnsi="Tahoma" w:cs="Tahoma"/>
                <w:sz w:val="22"/>
                <w:szCs w:val="22"/>
                <w:lang w:val="en-US"/>
              </w:rPr>
              <w:t>.</w:t>
            </w:r>
          </w:p>
          <w:p w14:paraId="378D22F3" w14:textId="4CA34A21" w:rsidR="00CA64FD" w:rsidRPr="00AB655A" w:rsidRDefault="002D7798" w:rsidP="002D7798">
            <w:pPr>
              <w:spacing w:line="288" w:lineRule="auto"/>
              <w:jc w:val="both"/>
              <w:rPr>
                <w:rFonts w:ascii="Tahoma" w:hAnsi="Tahoma" w:cs="Tahoma"/>
                <w:sz w:val="22"/>
                <w:szCs w:val="22"/>
                <w:lang w:val="en-US"/>
              </w:rPr>
            </w:pPr>
            <w:r w:rsidRPr="00AB655A">
              <w:rPr>
                <w:rFonts w:ascii="Tahoma" w:hAnsi="Tahoma" w:cs="Tahoma"/>
                <w:sz w:val="22"/>
                <w:szCs w:val="22"/>
                <w:lang w:val="en-US"/>
              </w:rPr>
              <w:t>Promote new institutional values.</w:t>
            </w:r>
          </w:p>
          <w:p w14:paraId="1B6D4873" w14:textId="77777777" w:rsidR="00CA64FD" w:rsidRPr="00AB655A" w:rsidRDefault="00CA64FD" w:rsidP="00CA64FD">
            <w:pPr>
              <w:spacing w:line="288" w:lineRule="auto"/>
              <w:jc w:val="both"/>
              <w:rPr>
                <w:rFonts w:ascii="Tahoma" w:hAnsi="Tahoma" w:cs="Tahoma"/>
                <w:sz w:val="22"/>
                <w:szCs w:val="22"/>
                <w:lang w:val="en-US"/>
              </w:rPr>
            </w:pPr>
          </w:p>
        </w:tc>
      </w:tr>
    </w:tbl>
    <w:p w14:paraId="428E53F1" w14:textId="0F5A6A36" w:rsidR="00CA64FD" w:rsidRPr="00AB655A" w:rsidRDefault="00CA64FD" w:rsidP="00E77D1C">
      <w:pPr>
        <w:spacing w:line="288" w:lineRule="auto"/>
        <w:jc w:val="both"/>
        <w:rPr>
          <w:rFonts w:ascii="Tahoma" w:hAnsi="Tahoma" w:cs="Tahoma"/>
          <w:sz w:val="22"/>
          <w:szCs w:val="22"/>
          <w:lang w:val="en-US"/>
        </w:rPr>
      </w:pPr>
    </w:p>
    <w:p w14:paraId="162CEB33" w14:textId="1FEFA7D1" w:rsidR="00BE2A9E" w:rsidRPr="00AB655A" w:rsidRDefault="00BE2A9E" w:rsidP="00E77D1C">
      <w:pPr>
        <w:spacing w:line="288" w:lineRule="auto"/>
        <w:jc w:val="both"/>
        <w:rPr>
          <w:rFonts w:ascii="Tahoma" w:hAnsi="Tahoma" w:cs="Tahoma"/>
          <w:sz w:val="22"/>
          <w:szCs w:val="22"/>
          <w:lang w:val="en-US"/>
        </w:rPr>
      </w:pPr>
    </w:p>
    <w:p w14:paraId="4805BAD1" w14:textId="77777777" w:rsidR="0066428D" w:rsidRPr="00AB655A" w:rsidRDefault="0066428D" w:rsidP="00E77D1C">
      <w:pPr>
        <w:spacing w:line="288" w:lineRule="auto"/>
        <w:jc w:val="both"/>
        <w:rPr>
          <w:rFonts w:ascii="Tahoma" w:hAnsi="Tahoma" w:cs="Tahoma"/>
          <w:sz w:val="22"/>
          <w:szCs w:val="22"/>
          <w:lang w:val="en-US"/>
        </w:rPr>
      </w:pPr>
    </w:p>
    <w:p w14:paraId="704B2F7B" w14:textId="608CA5C8" w:rsidR="00CE64B1" w:rsidRPr="00AB655A" w:rsidRDefault="0509D02B" w:rsidP="00EB2D0E">
      <w:pPr>
        <w:pStyle w:val="Heading1"/>
        <w:numPr>
          <w:ilvl w:val="0"/>
          <w:numId w:val="3"/>
        </w:numPr>
        <w:rPr>
          <w:lang w:val="en-US"/>
        </w:rPr>
      </w:pPr>
      <w:r w:rsidRPr="2425A842">
        <w:rPr>
          <w:lang w:val="en-US"/>
        </w:rPr>
        <w:t>ASPECTS to consider WHEN ESTABLISHING a specialized gender unit: conditions for the unit to operatE properly</w:t>
      </w:r>
    </w:p>
    <w:p w14:paraId="6F52936D" w14:textId="77777777" w:rsidR="000E28CC" w:rsidRPr="00AB655A" w:rsidRDefault="000E28CC" w:rsidP="00355A62">
      <w:pPr>
        <w:spacing w:line="288" w:lineRule="auto"/>
        <w:jc w:val="both"/>
        <w:rPr>
          <w:rFonts w:ascii="Tahoma" w:hAnsi="Tahoma" w:cs="Tahoma"/>
          <w:sz w:val="22"/>
          <w:szCs w:val="22"/>
          <w:lang w:val="en-US"/>
        </w:rPr>
      </w:pPr>
    </w:p>
    <w:p w14:paraId="0F6B1BE1" w14:textId="39D88457" w:rsidR="002D7798" w:rsidRPr="00AB655A" w:rsidRDefault="007F6CC3" w:rsidP="00B73158">
      <w:pPr>
        <w:jc w:val="both"/>
        <w:rPr>
          <w:rFonts w:ascii="Tahoma" w:hAnsi="Tahoma" w:cs="Tahoma"/>
          <w:sz w:val="22"/>
          <w:szCs w:val="22"/>
          <w:lang w:val="en-US"/>
        </w:rPr>
      </w:pPr>
      <w:r w:rsidRPr="00AB655A">
        <w:rPr>
          <w:rFonts w:ascii="Tahoma" w:hAnsi="Tahoma" w:cs="Tahoma"/>
          <w:sz w:val="22"/>
          <w:szCs w:val="22"/>
          <w:lang w:val="en-US"/>
        </w:rPr>
        <w:t xml:space="preserve">Certain aspects are key for the Specialized Gender Units to operate properly: commitment, political will, and </w:t>
      </w:r>
      <w:r w:rsidR="00380CD1">
        <w:rPr>
          <w:rFonts w:ascii="Tahoma" w:hAnsi="Tahoma" w:cs="Tahoma"/>
          <w:sz w:val="22"/>
          <w:szCs w:val="22"/>
          <w:lang w:val="en-US"/>
        </w:rPr>
        <w:t xml:space="preserve">conviction at </w:t>
      </w:r>
      <w:r w:rsidRPr="00AB655A">
        <w:rPr>
          <w:rFonts w:ascii="Tahoma" w:hAnsi="Tahoma" w:cs="Tahoma"/>
          <w:sz w:val="22"/>
          <w:szCs w:val="22"/>
          <w:lang w:val="en-US"/>
        </w:rPr>
        <w:t>the h</w:t>
      </w:r>
      <w:r w:rsidR="00424A4D">
        <w:rPr>
          <w:rFonts w:ascii="Tahoma" w:hAnsi="Tahoma" w:cs="Tahoma"/>
          <w:sz w:val="22"/>
          <w:szCs w:val="22"/>
          <w:lang w:val="en-US"/>
        </w:rPr>
        <w:tab/>
      </w:r>
      <w:proofErr w:type="spellStart"/>
      <w:r w:rsidRPr="00AB655A">
        <w:rPr>
          <w:rFonts w:ascii="Tahoma" w:hAnsi="Tahoma" w:cs="Tahoma"/>
          <w:sz w:val="22"/>
          <w:szCs w:val="22"/>
          <w:lang w:val="en-US"/>
        </w:rPr>
        <w:t>ighest</w:t>
      </w:r>
      <w:proofErr w:type="spellEnd"/>
      <w:r w:rsidRPr="00AB655A">
        <w:rPr>
          <w:rFonts w:ascii="Tahoma" w:hAnsi="Tahoma" w:cs="Tahoma"/>
          <w:sz w:val="22"/>
          <w:szCs w:val="22"/>
          <w:lang w:val="en-US"/>
        </w:rPr>
        <w:t>-level within the Ministries of Labor regarding the importance of having a</w:t>
      </w:r>
      <w:r w:rsidR="006F4175">
        <w:rPr>
          <w:rFonts w:ascii="Tahoma" w:hAnsi="Tahoma" w:cs="Tahoma"/>
          <w:sz w:val="22"/>
          <w:szCs w:val="22"/>
          <w:lang w:val="en-US"/>
        </w:rPr>
        <w:t xml:space="preserve"> permanent</w:t>
      </w:r>
      <w:r w:rsidRPr="00AB655A">
        <w:rPr>
          <w:rFonts w:ascii="Tahoma" w:hAnsi="Tahoma" w:cs="Tahoma"/>
          <w:sz w:val="22"/>
          <w:szCs w:val="22"/>
          <w:lang w:val="en-US"/>
        </w:rPr>
        <w:t xml:space="preserve"> internal structure that facilitates </w:t>
      </w:r>
      <w:r w:rsidR="000B4F5D" w:rsidRPr="00AB655A">
        <w:rPr>
          <w:rFonts w:ascii="Tahoma" w:hAnsi="Tahoma" w:cs="Tahoma"/>
          <w:sz w:val="22"/>
          <w:szCs w:val="22"/>
          <w:lang w:val="en-US"/>
        </w:rPr>
        <w:t xml:space="preserve">gender mainstreaming. </w:t>
      </w:r>
      <w:r w:rsidRPr="00AB655A">
        <w:rPr>
          <w:rFonts w:ascii="Tahoma" w:hAnsi="Tahoma" w:cs="Tahoma"/>
          <w:sz w:val="22"/>
          <w:szCs w:val="22"/>
          <w:lang w:val="en-US"/>
        </w:rPr>
        <w:t xml:space="preserve"> </w:t>
      </w:r>
    </w:p>
    <w:p w14:paraId="30DD1096" w14:textId="4F9143BF" w:rsidR="0053770B" w:rsidRPr="00AB655A" w:rsidRDefault="000B4F5D" w:rsidP="00B73158">
      <w:pPr>
        <w:jc w:val="both"/>
        <w:rPr>
          <w:rFonts w:ascii="Tahoma" w:hAnsi="Tahoma" w:cs="Tahoma"/>
          <w:sz w:val="22"/>
          <w:szCs w:val="22"/>
          <w:lang w:val="en-US"/>
        </w:rPr>
      </w:pPr>
      <w:r w:rsidRPr="00AB655A">
        <w:rPr>
          <w:rFonts w:ascii="Tahoma" w:hAnsi="Tahoma" w:cs="Tahoma"/>
          <w:sz w:val="22"/>
          <w:szCs w:val="22"/>
          <w:lang w:val="en-US"/>
        </w:rPr>
        <w:t>It is also important to consider what type of structure the unit acquire</w:t>
      </w:r>
      <w:r w:rsidR="00333E71" w:rsidRPr="00AB655A">
        <w:rPr>
          <w:rFonts w:ascii="Tahoma" w:hAnsi="Tahoma" w:cs="Tahoma"/>
          <w:sz w:val="22"/>
          <w:szCs w:val="22"/>
          <w:lang w:val="en-US"/>
        </w:rPr>
        <w:t>s</w:t>
      </w:r>
      <w:r w:rsidRPr="00AB655A">
        <w:rPr>
          <w:rFonts w:ascii="Tahoma" w:hAnsi="Tahoma" w:cs="Tahoma"/>
          <w:sz w:val="22"/>
          <w:szCs w:val="22"/>
          <w:lang w:val="en-US"/>
        </w:rPr>
        <w:t xml:space="preserve">. In general, this depends on different factors, for example, if the institution that it is part of has the rank of </w:t>
      </w:r>
      <w:r w:rsidR="007819EA" w:rsidRPr="00AB655A">
        <w:rPr>
          <w:rFonts w:ascii="Tahoma" w:hAnsi="Tahoma" w:cs="Tahoma"/>
          <w:sz w:val="22"/>
          <w:szCs w:val="22"/>
          <w:lang w:val="en-US"/>
        </w:rPr>
        <w:t>Ministry</w:t>
      </w:r>
      <w:r w:rsidRPr="00AB655A">
        <w:rPr>
          <w:rFonts w:ascii="Tahoma" w:hAnsi="Tahoma" w:cs="Tahoma"/>
          <w:sz w:val="22"/>
          <w:szCs w:val="22"/>
          <w:lang w:val="en-US"/>
        </w:rPr>
        <w:t>, Secretariat, Department, or any other entity, and if it has the necessary staff and resources.</w:t>
      </w:r>
    </w:p>
    <w:p w14:paraId="2ED733B7" w14:textId="1E062EAF" w:rsidR="00753598" w:rsidRPr="00AB655A" w:rsidRDefault="00333E71" w:rsidP="00B73158">
      <w:pPr>
        <w:jc w:val="both"/>
        <w:rPr>
          <w:rFonts w:ascii="Tahoma" w:hAnsi="Tahoma" w:cs="Tahoma"/>
          <w:sz w:val="22"/>
          <w:szCs w:val="22"/>
          <w:lang w:val="en-US"/>
        </w:rPr>
      </w:pPr>
      <w:r w:rsidRPr="00AB655A">
        <w:rPr>
          <w:rFonts w:ascii="Tahoma" w:hAnsi="Tahoma" w:cs="Tahoma"/>
          <w:sz w:val="22"/>
          <w:szCs w:val="22"/>
          <w:lang w:val="en-US"/>
        </w:rPr>
        <w:t>The Specialized Gender Unit must establish an organization</w:t>
      </w:r>
      <w:r w:rsidR="001D74B8" w:rsidRPr="00AB655A">
        <w:rPr>
          <w:rFonts w:ascii="Tahoma" w:hAnsi="Tahoma" w:cs="Tahoma"/>
          <w:sz w:val="22"/>
          <w:szCs w:val="22"/>
          <w:lang w:val="en-US"/>
        </w:rPr>
        <w:t>al</w:t>
      </w:r>
      <w:r w:rsidRPr="00AB655A">
        <w:rPr>
          <w:rFonts w:ascii="Tahoma" w:hAnsi="Tahoma" w:cs="Tahoma"/>
          <w:sz w:val="22"/>
          <w:szCs w:val="22"/>
          <w:lang w:val="en-US"/>
        </w:rPr>
        <w:t xml:space="preserve"> chart that serves the different units of the Ministry. For example, </w:t>
      </w:r>
      <w:r w:rsidR="005F72D5" w:rsidRPr="00AB655A">
        <w:rPr>
          <w:rFonts w:ascii="Tahoma" w:hAnsi="Tahoma" w:cs="Tahoma"/>
          <w:sz w:val="22"/>
          <w:szCs w:val="22"/>
          <w:lang w:val="en-US"/>
        </w:rPr>
        <w:t xml:space="preserve">an area that </w:t>
      </w:r>
      <w:proofErr w:type="gramStart"/>
      <w:r w:rsidR="005F72D5" w:rsidRPr="00AB655A">
        <w:rPr>
          <w:rFonts w:ascii="Tahoma" w:hAnsi="Tahoma" w:cs="Tahoma"/>
          <w:sz w:val="22"/>
          <w:szCs w:val="22"/>
          <w:lang w:val="en-US"/>
        </w:rPr>
        <w:t>is in charge of</w:t>
      </w:r>
      <w:proofErr w:type="gramEnd"/>
      <w:r w:rsidR="005F72D5" w:rsidRPr="00AB655A">
        <w:rPr>
          <w:rFonts w:ascii="Tahoma" w:hAnsi="Tahoma" w:cs="Tahoma"/>
          <w:sz w:val="22"/>
          <w:szCs w:val="22"/>
          <w:lang w:val="en-US"/>
        </w:rPr>
        <w:t xml:space="preserve"> </w:t>
      </w:r>
      <w:r w:rsidR="00DC57D8" w:rsidRPr="00AB655A">
        <w:rPr>
          <w:rFonts w:ascii="Tahoma" w:hAnsi="Tahoma" w:cs="Tahoma"/>
          <w:sz w:val="22"/>
          <w:szCs w:val="22"/>
          <w:lang w:val="en-US"/>
        </w:rPr>
        <w:t xml:space="preserve">internal matters and that promotes the development of changes in the organizational culture of the Ministry; that ensures that internal hiring, promotion, training, and salary regulations include a gender approach; and that establishes measures that foster joint responsibility. Another area should focus on the target population by </w:t>
      </w:r>
      <w:r w:rsidR="005B71DC" w:rsidRPr="00AB655A">
        <w:rPr>
          <w:rFonts w:ascii="Tahoma" w:hAnsi="Tahoma" w:cs="Tahoma"/>
          <w:sz w:val="22"/>
          <w:szCs w:val="22"/>
          <w:lang w:val="en-US"/>
        </w:rPr>
        <w:t>introducing</w:t>
      </w:r>
      <w:r w:rsidR="00DC57D8" w:rsidRPr="00AB655A">
        <w:rPr>
          <w:rFonts w:ascii="Tahoma" w:hAnsi="Tahoma" w:cs="Tahoma"/>
          <w:sz w:val="22"/>
          <w:szCs w:val="22"/>
          <w:lang w:val="en-US"/>
        </w:rPr>
        <w:t xml:space="preserve"> a gender approach in the development, execution, and evaluation of policies and programs, and advocating </w:t>
      </w:r>
      <w:r w:rsidR="00DC57D8" w:rsidRPr="00AB655A">
        <w:rPr>
          <w:rFonts w:ascii="Tahoma" w:hAnsi="Tahoma" w:cs="Tahoma"/>
          <w:sz w:val="22"/>
          <w:szCs w:val="22"/>
          <w:lang w:val="en-US"/>
        </w:rPr>
        <w:lastRenderedPageBreak/>
        <w:t xml:space="preserve">for the generation of gender </w:t>
      </w:r>
      <w:r w:rsidR="005B71DC" w:rsidRPr="00AB655A">
        <w:rPr>
          <w:rFonts w:ascii="Tahoma" w:hAnsi="Tahoma" w:cs="Tahoma"/>
          <w:sz w:val="22"/>
          <w:szCs w:val="22"/>
          <w:lang w:val="en-US"/>
        </w:rPr>
        <w:t>statistics</w:t>
      </w:r>
      <w:r w:rsidR="00DC57D8" w:rsidRPr="00AB655A">
        <w:rPr>
          <w:rFonts w:ascii="Tahoma" w:hAnsi="Tahoma" w:cs="Tahoma"/>
          <w:sz w:val="22"/>
          <w:szCs w:val="22"/>
          <w:lang w:val="en-US"/>
        </w:rPr>
        <w:t>, all with the goal of eliminating gender gaps in the labor sphere.</w:t>
      </w:r>
    </w:p>
    <w:p w14:paraId="4616D6DC" w14:textId="082732BC" w:rsidR="002A2211" w:rsidRPr="00AB655A" w:rsidRDefault="00DC57D8" w:rsidP="00B73158">
      <w:pPr>
        <w:jc w:val="both"/>
        <w:rPr>
          <w:rFonts w:ascii="Tahoma" w:hAnsi="Tahoma" w:cs="Tahoma"/>
          <w:sz w:val="22"/>
          <w:szCs w:val="22"/>
          <w:lang w:val="en-US"/>
        </w:rPr>
      </w:pPr>
      <w:r w:rsidRPr="00AB655A">
        <w:rPr>
          <w:rFonts w:ascii="Tahoma" w:hAnsi="Tahoma" w:cs="Tahoma"/>
          <w:sz w:val="22"/>
          <w:szCs w:val="22"/>
          <w:lang w:val="en-US"/>
        </w:rPr>
        <w:t xml:space="preserve">If the institution is small, an option is to establish a gender unit that is equivalent in size. However, in these cases, </w:t>
      </w:r>
      <w:r w:rsidR="00EF2F05">
        <w:rPr>
          <w:rFonts w:ascii="Tahoma" w:hAnsi="Tahoma" w:cs="Tahoma"/>
          <w:sz w:val="22"/>
          <w:szCs w:val="22"/>
          <w:lang w:val="en-US"/>
        </w:rPr>
        <w:t xml:space="preserve">it is </w:t>
      </w:r>
      <w:r w:rsidRPr="00AB655A">
        <w:rPr>
          <w:rFonts w:ascii="Tahoma" w:hAnsi="Tahoma" w:cs="Tahoma"/>
          <w:sz w:val="22"/>
          <w:szCs w:val="22"/>
          <w:lang w:val="en-US"/>
        </w:rPr>
        <w:t xml:space="preserve">important to build </w:t>
      </w:r>
      <w:r w:rsidR="00B645D9" w:rsidRPr="00AB655A">
        <w:rPr>
          <w:rFonts w:ascii="Tahoma" w:hAnsi="Tahoma" w:cs="Tahoma"/>
          <w:sz w:val="22"/>
          <w:szCs w:val="22"/>
          <w:lang w:val="en-US"/>
        </w:rPr>
        <w:t>ties with representatives from the different areas of the institution. This will lead to the development of activities through an inter-institutional partnership that, in turn, promotes gender equality within the organization and outside of it. Having a gender advisor at the highest decision-making level also fosters mainstreaming gender in the institution.</w:t>
      </w:r>
    </w:p>
    <w:p w14:paraId="5B039A45" w14:textId="77777777" w:rsidR="006A778D" w:rsidRDefault="7E34497A" w:rsidP="00B73158">
      <w:pPr>
        <w:jc w:val="both"/>
        <w:rPr>
          <w:rFonts w:ascii="Tahoma" w:hAnsi="Tahoma" w:cs="Tahoma"/>
          <w:sz w:val="22"/>
          <w:szCs w:val="22"/>
          <w:highlight w:val="yellow"/>
          <w:lang w:val="en-US"/>
        </w:rPr>
      </w:pPr>
      <w:r w:rsidRPr="2425A842">
        <w:rPr>
          <w:rFonts w:ascii="Tahoma" w:hAnsi="Tahoma" w:cs="Tahoma"/>
          <w:sz w:val="22"/>
          <w:szCs w:val="22"/>
          <w:lang w:val="en-US"/>
        </w:rPr>
        <w:t xml:space="preserve">Another strategy to facilitate </w:t>
      </w:r>
      <w:r w:rsidR="6C822DF4" w:rsidRPr="2425A842">
        <w:rPr>
          <w:rFonts w:ascii="Tahoma" w:hAnsi="Tahoma" w:cs="Tahoma"/>
          <w:sz w:val="22"/>
          <w:szCs w:val="22"/>
          <w:lang w:val="en-US"/>
        </w:rPr>
        <w:t xml:space="preserve">gender </w:t>
      </w:r>
      <w:r w:rsidRPr="2425A842">
        <w:rPr>
          <w:rFonts w:ascii="Tahoma" w:hAnsi="Tahoma" w:cs="Tahoma"/>
          <w:sz w:val="22"/>
          <w:szCs w:val="22"/>
          <w:lang w:val="en-US"/>
        </w:rPr>
        <w:t>mainstreaming is to create Gender Committees or Commissions consisting of representatives from the various areas of the institution. These committees or commissions can</w:t>
      </w:r>
      <w:r w:rsidR="6C822DF4" w:rsidRPr="2425A842">
        <w:rPr>
          <w:rFonts w:ascii="Tahoma" w:hAnsi="Tahoma" w:cs="Tahoma"/>
          <w:sz w:val="22"/>
          <w:szCs w:val="22"/>
          <w:lang w:val="en-US"/>
        </w:rPr>
        <w:t xml:space="preserve"> either</w:t>
      </w:r>
      <w:r w:rsidRPr="2425A842">
        <w:rPr>
          <w:rFonts w:ascii="Tahoma" w:hAnsi="Tahoma" w:cs="Tahoma"/>
          <w:sz w:val="22"/>
          <w:szCs w:val="22"/>
          <w:lang w:val="en-US"/>
        </w:rPr>
        <w:t xml:space="preserve"> be</w:t>
      </w:r>
      <w:r w:rsidR="32086149" w:rsidRPr="2425A842">
        <w:rPr>
          <w:rFonts w:ascii="Tahoma" w:hAnsi="Tahoma" w:cs="Tahoma"/>
          <w:sz w:val="22"/>
          <w:szCs w:val="22"/>
          <w:lang w:val="en-US"/>
        </w:rPr>
        <w:t xml:space="preserve">, in and of themselves, </w:t>
      </w:r>
      <w:r w:rsidRPr="2425A842">
        <w:rPr>
          <w:rFonts w:ascii="Tahoma" w:hAnsi="Tahoma" w:cs="Tahoma"/>
          <w:sz w:val="22"/>
          <w:szCs w:val="22"/>
          <w:lang w:val="en-US"/>
        </w:rPr>
        <w:t>the very body that institutionalizes gender</w:t>
      </w:r>
      <w:r w:rsidR="6C822DF4" w:rsidRPr="2425A842">
        <w:rPr>
          <w:rFonts w:ascii="Tahoma" w:hAnsi="Tahoma" w:cs="Tahoma"/>
          <w:sz w:val="22"/>
          <w:szCs w:val="22"/>
          <w:lang w:val="en-US"/>
        </w:rPr>
        <w:t xml:space="preserve"> o</w:t>
      </w:r>
      <w:r w:rsidRPr="2425A842">
        <w:rPr>
          <w:rFonts w:ascii="Tahoma" w:hAnsi="Tahoma" w:cs="Tahoma"/>
          <w:sz w:val="22"/>
          <w:szCs w:val="22"/>
          <w:lang w:val="en-US"/>
        </w:rPr>
        <w:t xml:space="preserve">r play an advisory role to the Specialized Gender Unit. </w:t>
      </w:r>
      <w:r w:rsidR="6599E19B" w:rsidRPr="005D1C56">
        <w:rPr>
          <w:rFonts w:ascii="Tahoma" w:hAnsi="Tahoma" w:cs="Tahoma"/>
          <w:sz w:val="22"/>
          <w:szCs w:val="22"/>
          <w:lang w:val="en-US"/>
        </w:rPr>
        <w:t>Examples of Ministries that have implemented these entities demonstrate that these intra</w:t>
      </w:r>
      <w:r w:rsidR="72237C21" w:rsidRPr="005D1C56">
        <w:rPr>
          <w:rFonts w:ascii="Tahoma" w:hAnsi="Tahoma" w:cs="Tahoma"/>
          <w:sz w:val="22"/>
          <w:szCs w:val="22"/>
          <w:lang w:val="en-US"/>
        </w:rPr>
        <w:t>-</w:t>
      </w:r>
      <w:r w:rsidR="6599E19B" w:rsidRPr="005D1C56">
        <w:rPr>
          <w:rFonts w:ascii="Tahoma" w:hAnsi="Tahoma" w:cs="Tahoma"/>
          <w:sz w:val="22"/>
          <w:szCs w:val="22"/>
          <w:lang w:val="en-US"/>
        </w:rPr>
        <w:t>institutional commissions</w:t>
      </w:r>
      <w:r w:rsidR="00B645D9" w:rsidRPr="005D1C56">
        <w:rPr>
          <w:rFonts w:ascii="Tahoma" w:hAnsi="Tahoma" w:cs="Tahoma"/>
          <w:sz w:val="22"/>
          <w:szCs w:val="22"/>
          <w:lang w:val="en-US"/>
        </w:rPr>
        <w:t xml:space="preserve"> </w:t>
      </w:r>
      <w:r w:rsidR="6599E19B" w:rsidRPr="005D1C56">
        <w:rPr>
          <w:rFonts w:ascii="Tahoma" w:hAnsi="Tahoma" w:cs="Tahoma"/>
          <w:sz w:val="22"/>
          <w:szCs w:val="22"/>
          <w:lang w:val="en-US"/>
        </w:rPr>
        <w:t>act as the “</w:t>
      </w:r>
      <w:r w:rsidR="5700F97D" w:rsidRPr="005D1C56">
        <w:rPr>
          <w:rFonts w:ascii="Tahoma" w:hAnsi="Tahoma" w:cs="Tahoma"/>
          <w:sz w:val="22"/>
          <w:szCs w:val="22"/>
          <w:lang w:val="en-US"/>
        </w:rPr>
        <w:t>arms</w:t>
      </w:r>
      <w:r w:rsidR="5700F97D" w:rsidRPr="005D1C56">
        <w:rPr>
          <w:rFonts w:ascii="Tahoma" w:hAnsi="Tahoma" w:cs="Tahoma"/>
          <w:sz w:val="22"/>
          <w:szCs w:val="22"/>
          <w:lang w:val="en-US"/>
        </w:rPr>
        <w:t>”</w:t>
      </w:r>
      <w:r w:rsidR="5700F97D" w:rsidRPr="005D1C56">
        <w:rPr>
          <w:rFonts w:ascii="Tahoma" w:hAnsi="Tahoma" w:cs="Tahoma"/>
          <w:sz w:val="22"/>
          <w:szCs w:val="22"/>
          <w:lang w:val="en-US"/>
        </w:rPr>
        <w:t xml:space="preserve"> or </w:t>
      </w:r>
      <w:r w:rsidR="5700F97D" w:rsidRPr="005D1C56">
        <w:rPr>
          <w:rFonts w:ascii="Tahoma" w:hAnsi="Tahoma" w:cs="Tahoma"/>
          <w:sz w:val="22"/>
          <w:szCs w:val="22"/>
          <w:lang w:val="en-US"/>
        </w:rPr>
        <w:t>“</w:t>
      </w:r>
      <w:r w:rsidR="5700F97D" w:rsidRPr="005D1C56">
        <w:rPr>
          <w:rFonts w:ascii="Tahoma" w:hAnsi="Tahoma" w:cs="Tahoma"/>
          <w:sz w:val="22"/>
          <w:szCs w:val="22"/>
          <w:lang w:val="en-US"/>
        </w:rPr>
        <w:t>tentacles</w:t>
      </w:r>
      <w:r w:rsidR="6599E19B" w:rsidRPr="005D1C56">
        <w:rPr>
          <w:rFonts w:ascii="Tahoma" w:hAnsi="Tahoma" w:cs="Tahoma"/>
          <w:sz w:val="22"/>
          <w:szCs w:val="22"/>
          <w:lang w:val="en-US"/>
        </w:rPr>
        <w:t>” of the Gender Units</w:t>
      </w:r>
      <w:r w:rsidR="6599E19B" w:rsidRPr="005D1C56">
        <w:rPr>
          <w:rFonts w:ascii="Tahoma" w:hAnsi="Tahoma" w:cs="Tahoma"/>
          <w:sz w:val="22"/>
          <w:szCs w:val="22"/>
          <w:lang w:val="en-US"/>
        </w:rPr>
        <w:t>,</w:t>
      </w:r>
      <w:r w:rsidR="00C0219B" w:rsidRPr="005D1C56">
        <w:rPr>
          <w:rFonts w:ascii="Tahoma" w:hAnsi="Tahoma" w:cs="Tahoma"/>
          <w:sz w:val="22"/>
          <w:szCs w:val="22"/>
          <w:lang w:val="en-US"/>
        </w:rPr>
        <w:t xml:space="preserve"> since the areas </w:t>
      </w:r>
      <w:r w:rsidR="006A778D" w:rsidRPr="005D1C56">
        <w:rPr>
          <w:rFonts w:ascii="Tahoma" w:hAnsi="Tahoma" w:cs="Tahoma"/>
          <w:sz w:val="22"/>
          <w:szCs w:val="22"/>
          <w:lang w:val="en-US"/>
        </w:rPr>
        <w:t>that integrate them are experts in their subjects which, along with the advisory role of the Gender Unites, enables diagnostics and identifying actions to close specific gaps.</w:t>
      </w:r>
    </w:p>
    <w:p w14:paraId="3E8ECB0C" w14:textId="3C0D9B70" w:rsidR="00FC4E08" w:rsidRPr="00AB655A" w:rsidRDefault="7E34497A" w:rsidP="00B73158">
      <w:pPr>
        <w:jc w:val="both"/>
        <w:rPr>
          <w:rFonts w:ascii="Tahoma" w:hAnsi="Tahoma" w:cs="Tahoma"/>
          <w:sz w:val="22"/>
          <w:szCs w:val="22"/>
          <w:lang w:val="en-US"/>
        </w:rPr>
      </w:pPr>
      <w:r w:rsidRPr="2425A842">
        <w:rPr>
          <w:rFonts w:ascii="Tahoma" w:hAnsi="Tahoma" w:cs="Tahoma"/>
          <w:sz w:val="22"/>
          <w:szCs w:val="22"/>
          <w:lang w:val="en-US"/>
        </w:rPr>
        <w:t xml:space="preserve">Whatever </w:t>
      </w:r>
      <w:r w:rsidRPr="2425A842">
        <w:rPr>
          <w:rFonts w:ascii="Tahoma" w:hAnsi="Tahoma" w:cs="Tahoma"/>
          <w:sz w:val="22"/>
          <w:szCs w:val="22"/>
          <w:lang w:val="en-US"/>
        </w:rPr>
        <w:t>structure</w:t>
      </w:r>
      <w:r w:rsidRPr="2425A842">
        <w:rPr>
          <w:rFonts w:ascii="Tahoma" w:hAnsi="Tahoma" w:cs="Tahoma"/>
          <w:sz w:val="22"/>
          <w:szCs w:val="22"/>
          <w:lang w:val="en-US"/>
        </w:rPr>
        <w:t xml:space="preserve"> these take, the Specialized Gender Units </w:t>
      </w:r>
      <w:r w:rsidR="285946CA" w:rsidRPr="2425A842">
        <w:rPr>
          <w:rFonts w:ascii="Tahoma" w:hAnsi="Tahoma" w:cs="Tahoma"/>
          <w:sz w:val="22"/>
          <w:szCs w:val="22"/>
          <w:lang w:val="en-US"/>
        </w:rPr>
        <w:t xml:space="preserve">need </w:t>
      </w:r>
      <w:r w:rsidRPr="2425A842">
        <w:rPr>
          <w:rFonts w:ascii="Tahoma" w:hAnsi="Tahoma" w:cs="Tahoma"/>
          <w:sz w:val="22"/>
          <w:szCs w:val="22"/>
          <w:lang w:val="en-US"/>
        </w:rPr>
        <w:t>to maintain a constant relationship with the National Mechanisms for the Advancement of Women (MN</w:t>
      </w:r>
      <w:r w:rsidRPr="2425A842">
        <w:rPr>
          <w:rFonts w:ascii="Tahoma" w:hAnsi="Tahoma" w:cs="Tahoma"/>
          <w:sz w:val="22"/>
          <w:szCs w:val="22"/>
          <w:lang w:val="en-US"/>
        </w:rPr>
        <w:t>A</w:t>
      </w:r>
      <w:r w:rsidRPr="2425A842">
        <w:rPr>
          <w:rFonts w:ascii="Tahoma" w:hAnsi="Tahoma" w:cs="Tahoma"/>
          <w:sz w:val="22"/>
          <w:szCs w:val="22"/>
          <w:lang w:val="en-US"/>
        </w:rPr>
        <w:t>M)</w:t>
      </w:r>
      <w:r w:rsidR="285946CA" w:rsidRPr="2425A842">
        <w:rPr>
          <w:rFonts w:ascii="Tahoma" w:hAnsi="Tahoma" w:cs="Tahoma"/>
          <w:sz w:val="22"/>
          <w:szCs w:val="22"/>
          <w:lang w:val="en-US"/>
        </w:rPr>
        <w:t>, adjusting their planned actions to the gender policy established for the labor sphere, as well as participating in the inter-institutional gender committees convened by the Mechanism.</w:t>
      </w:r>
      <w:r w:rsidR="4C547958" w:rsidRPr="2425A842">
        <w:rPr>
          <w:rFonts w:ascii="Tahoma" w:hAnsi="Tahoma" w:cs="Tahoma"/>
          <w:sz w:val="22"/>
          <w:szCs w:val="22"/>
          <w:lang w:val="en-US"/>
        </w:rPr>
        <w:t xml:space="preserve"> At the same time, this fosters mutual enrichment since the Gender Units monitor the fulfillment of the national gender plans and provid</w:t>
      </w:r>
      <w:r w:rsidR="4A3F8641" w:rsidRPr="2425A842">
        <w:rPr>
          <w:rFonts w:ascii="Tahoma" w:hAnsi="Tahoma" w:cs="Tahoma"/>
          <w:sz w:val="22"/>
          <w:szCs w:val="22"/>
          <w:lang w:val="en-US"/>
        </w:rPr>
        <w:t>e</w:t>
      </w:r>
      <w:r w:rsidR="4C547958" w:rsidRPr="2425A842">
        <w:rPr>
          <w:rFonts w:ascii="Tahoma" w:hAnsi="Tahoma" w:cs="Tahoma"/>
          <w:sz w:val="22"/>
          <w:szCs w:val="22"/>
          <w:lang w:val="en-US"/>
        </w:rPr>
        <w:t xml:space="preserve"> reports</w:t>
      </w:r>
      <w:r w:rsidR="09240C66" w:rsidRPr="2425A842">
        <w:rPr>
          <w:rFonts w:ascii="Tahoma" w:hAnsi="Tahoma" w:cs="Tahoma"/>
          <w:sz w:val="22"/>
          <w:szCs w:val="22"/>
          <w:lang w:val="en-US"/>
        </w:rPr>
        <w:t xml:space="preserve"> related to </w:t>
      </w:r>
      <w:r w:rsidR="183F83FA" w:rsidRPr="2425A842">
        <w:rPr>
          <w:rFonts w:ascii="Tahoma" w:hAnsi="Tahoma" w:cs="Tahoma"/>
          <w:sz w:val="22"/>
          <w:szCs w:val="22"/>
          <w:lang w:val="en-US"/>
        </w:rPr>
        <w:t>labor and employment</w:t>
      </w:r>
      <w:r w:rsidR="4C547958" w:rsidRPr="2425A842">
        <w:rPr>
          <w:rFonts w:ascii="Tahoma" w:hAnsi="Tahoma" w:cs="Tahoma"/>
          <w:sz w:val="22"/>
          <w:szCs w:val="22"/>
          <w:lang w:val="en-US"/>
        </w:rPr>
        <w:t>.</w:t>
      </w:r>
    </w:p>
    <w:p w14:paraId="4267DCF2" w14:textId="7110FA24" w:rsidR="00417D64" w:rsidRPr="00AB655A" w:rsidRDefault="4E8D0111" w:rsidP="00B73158">
      <w:pPr>
        <w:jc w:val="both"/>
        <w:rPr>
          <w:rFonts w:ascii="Tahoma" w:hAnsi="Tahoma" w:cs="Tahoma"/>
          <w:sz w:val="22"/>
          <w:szCs w:val="22"/>
          <w:lang w:val="en-US"/>
        </w:rPr>
      </w:pPr>
      <w:r w:rsidRPr="2425A842">
        <w:rPr>
          <w:rFonts w:ascii="Tahoma" w:hAnsi="Tahoma" w:cs="Tahoma"/>
          <w:sz w:val="22"/>
          <w:szCs w:val="22"/>
          <w:lang w:val="en-US"/>
        </w:rPr>
        <w:t xml:space="preserve">The creation and implementation of tripartite commissions demonstrates the importance of the State joining efforts with organizations of workers and employers, </w:t>
      </w:r>
      <w:r w:rsidR="579B8A19" w:rsidRPr="2425A842">
        <w:rPr>
          <w:rFonts w:ascii="Tahoma" w:hAnsi="Tahoma" w:cs="Tahoma"/>
          <w:sz w:val="22"/>
          <w:szCs w:val="22"/>
          <w:lang w:val="en-US"/>
        </w:rPr>
        <w:t>enterprises</w:t>
      </w:r>
      <w:r w:rsidRPr="2425A842">
        <w:rPr>
          <w:rFonts w:ascii="Tahoma" w:hAnsi="Tahoma" w:cs="Tahoma"/>
          <w:sz w:val="22"/>
          <w:szCs w:val="22"/>
          <w:lang w:val="en-US"/>
        </w:rPr>
        <w:t>, and even civil society organizations. This allows gender mainstreaming to transcend the institutional sphere to produce a collective synergy between the different parts</w:t>
      </w:r>
      <w:r w:rsidR="3A1A3466" w:rsidRPr="2425A842">
        <w:rPr>
          <w:rFonts w:ascii="Tahoma" w:hAnsi="Tahoma" w:cs="Tahoma"/>
          <w:sz w:val="22"/>
          <w:szCs w:val="22"/>
          <w:lang w:val="en-US"/>
        </w:rPr>
        <w:t xml:space="preserve"> and </w:t>
      </w:r>
      <w:r w:rsidR="3A1A3466" w:rsidRPr="2425A842">
        <w:rPr>
          <w:rFonts w:ascii="Tahoma" w:hAnsi="Tahoma" w:cs="Tahoma"/>
          <w:sz w:val="22"/>
          <w:szCs w:val="22"/>
          <w:lang w:val="en-US"/>
        </w:rPr>
        <w:t>achieve</w:t>
      </w:r>
      <w:r w:rsidR="3A1A3466" w:rsidRPr="2425A842">
        <w:rPr>
          <w:rFonts w:ascii="Tahoma" w:hAnsi="Tahoma" w:cs="Tahoma"/>
          <w:sz w:val="22"/>
          <w:szCs w:val="22"/>
          <w:lang w:val="en-US"/>
        </w:rPr>
        <w:t xml:space="preserve"> results</w:t>
      </w:r>
      <w:r w:rsidRPr="2425A842">
        <w:rPr>
          <w:rFonts w:ascii="Tahoma" w:hAnsi="Tahoma" w:cs="Tahoma"/>
          <w:sz w:val="22"/>
          <w:szCs w:val="22"/>
          <w:lang w:val="en-US"/>
        </w:rPr>
        <w:t>.</w:t>
      </w:r>
    </w:p>
    <w:p w14:paraId="2D0009DE" w14:textId="77777777" w:rsidR="00417D64" w:rsidRPr="00AB655A" w:rsidRDefault="00417D64">
      <w:pPr>
        <w:rPr>
          <w:rFonts w:ascii="Tahoma" w:hAnsi="Tahoma" w:cs="Tahoma"/>
          <w:sz w:val="22"/>
          <w:szCs w:val="22"/>
          <w:lang w:val="en-US"/>
        </w:rPr>
      </w:pPr>
      <w:r w:rsidRPr="00AB655A">
        <w:rPr>
          <w:rFonts w:ascii="Tahoma" w:hAnsi="Tahoma" w:cs="Tahoma"/>
          <w:sz w:val="22"/>
          <w:szCs w:val="22"/>
          <w:lang w:val="en-US"/>
        </w:rPr>
        <w:br w:type="page"/>
      </w:r>
    </w:p>
    <w:p w14:paraId="003F2208" w14:textId="77777777" w:rsidR="002D4CAB" w:rsidRPr="00AB655A" w:rsidRDefault="002D4CAB" w:rsidP="00B73158">
      <w:pPr>
        <w:jc w:val="both"/>
        <w:rPr>
          <w:rFonts w:ascii="Tahoma" w:hAnsi="Tahoma" w:cs="Tahoma"/>
          <w:sz w:val="22"/>
          <w:szCs w:val="22"/>
          <w:lang w:val="en-US"/>
        </w:rPr>
      </w:pPr>
    </w:p>
    <w:tbl>
      <w:tblPr>
        <w:tblStyle w:val="TableGrid"/>
        <w:tblW w:w="0" w:type="auto"/>
        <w:shd w:val="clear" w:color="auto" w:fill="A9D5E7" w:themeFill="accent1" w:themeFillTint="66"/>
        <w:tblLook w:val="04A0" w:firstRow="1" w:lastRow="0" w:firstColumn="1" w:lastColumn="0" w:noHBand="0" w:noVBand="1"/>
      </w:tblPr>
      <w:tblGrid>
        <w:gridCol w:w="8474"/>
      </w:tblGrid>
      <w:tr w:rsidR="00EE6930" w:rsidRPr="00ED097B" w14:paraId="2D2F0ADE" w14:textId="77777777" w:rsidTr="2425A842">
        <w:tc>
          <w:tcPr>
            <w:tcW w:w="8474" w:type="dxa"/>
            <w:tcBorders>
              <w:top w:val="single" w:sz="12" w:space="0" w:color="2683C6" w:themeColor="accent6"/>
              <w:left w:val="single" w:sz="12" w:space="0" w:color="2683C6" w:themeColor="accent6"/>
              <w:bottom w:val="single" w:sz="12" w:space="0" w:color="2683C6" w:themeColor="accent6"/>
              <w:right w:val="single" w:sz="12" w:space="0" w:color="2683C6" w:themeColor="accent6"/>
            </w:tcBorders>
            <w:shd w:val="clear" w:color="auto" w:fill="A9D5E7" w:themeFill="accent1" w:themeFillTint="66"/>
          </w:tcPr>
          <w:p w14:paraId="3EE0127B" w14:textId="05C1AD60" w:rsidR="003E2EFC" w:rsidRPr="00AB655A" w:rsidRDefault="00D64EE5" w:rsidP="003E2EFC">
            <w:pPr>
              <w:spacing w:line="288" w:lineRule="auto"/>
              <w:jc w:val="center"/>
              <w:rPr>
                <w:rFonts w:ascii="Tahoma" w:hAnsi="Tahoma" w:cs="Tahoma"/>
                <w:b/>
                <w:bCs/>
                <w:sz w:val="22"/>
                <w:szCs w:val="22"/>
                <w:lang w:val="en-US"/>
              </w:rPr>
            </w:pPr>
            <w:r w:rsidRPr="00AB655A">
              <w:rPr>
                <w:rFonts w:ascii="Tahoma" w:hAnsi="Tahoma" w:cs="Tahoma"/>
                <w:b/>
                <w:bCs/>
                <w:sz w:val="22"/>
                <w:szCs w:val="22"/>
                <w:lang w:val="en-US"/>
              </w:rPr>
              <w:t>Conditions for the unit to operate properly</w:t>
            </w:r>
          </w:p>
          <w:p w14:paraId="52B11880" w14:textId="77777777" w:rsidR="003E2EFC" w:rsidRPr="00AB655A" w:rsidRDefault="003E2EFC" w:rsidP="00EE6930">
            <w:pPr>
              <w:spacing w:line="288" w:lineRule="auto"/>
              <w:jc w:val="both"/>
              <w:rPr>
                <w:rFonts w:ascii="Tahoma" w:hAnsi="Tahoma" w:cs="Tahoma"/>
                <w:sz w:val="22"/>
                <w:szCs w:val="22"/>
                <w:lang w:val="en-US"/>
              </w:rPr>
            </w:pPr>
          </w:p>
          <w:p w14:paraId="5F4A8243" w14:textId="02572D49" w:rsidR="00EE6930" w:rsidRPr="00AB655A" w:rsidRDefault="00902592" w:rsidP="00EE6930">
            <w:pPr>
              <w:spacing w:line="288" w:lineRule="auto"/>
              <w:jc w:val="both"/>
              <w:rPr>
                <w:rFonts w:ascii="Tahoma" w:hAnsi="Tahoma" w:cs="Tahoma"/>
                <w:sz w:val="22"/>
                <w:szCs w:val="22"/>
                <w:lang w:val="en-US"/>
              </w:rPr>
            </w:pPr>
            <w:r w:rsidRPr="00AB655A">
              <w:rPr>
                <w:rFonts w:ascii="Tahoma" w:hAnsi="Tahoma" w:cs="Tahoma"/>
                <w:sz w:val="22"/>
                <w:szCs w:val="22"/>
                <w:lang w:val="en-US"/>
              </w:rPr>
              <w:t>The following are key conditions for the Specialized Gender Unit to operate properly</w:t>
            </w:r>
            <w:r w:rsidR="00EE6930" w:rsidRPr="00AB655A">
              <w:rPr>
                <w:rFonts w:ascii="Tahoma" w:hAnsi="Tahoma" w:cs="Tahoma"/>
                <w:sz w:val="22"/>
                <w:szCs w:val="22"/>
                <w:lang w:val="en-US"/>
              </w:rPr>
              <w:t>:</w:t>
            </w:r>
          </w:p>
          <w:p w14:paraId="40708006" w14:textId="77777777" w:rsidR="009401D5" w:rsidRPr="00AB655A" w:rsidRDefault="009401D5" w:rsidP="00EE6930">
            <w:pPr>
              <w:spacing w:line="288" w:lineRule="auto"/>
              <w:jc w:val="both"/>
              <w:rPr>
                <w:rFonts w:ascii="Tahoma" w:hAnsi="Tahoma" w:cs="Tahoma"/>
                <w:sz w:val="22"/>
                <w:szCs w:val="22"/>
                <w:lang w:val="en-US"/>
              </w:rPr>
            </w:pPr>
          </w:p>
          <w:p w14:paraId="16DED494" w14:textId="429BB9B0" w:rsidR="007247FC" w:rsidRPr="00AB655A" w:rsidRDefault="00902592" w:rsidP="007247FC">
            <w:pPr>
              <w:pStyle w:val="ListParagraph"/>
              <w:numPr>
                <w:ilvl w:val="0"/>
                <w:numId w:val="2"/>
              </w:numPr>
              <w:spacing w:line="288" w:lineRule="auto"/>
              <w:jc w:val="both"/>
              <w:rPr>
                <w:rFonts w:ascii="Tahoma" w:hAnsi="Tahoma" w:cs="Tahoma"/>
                <w:b/>
                <w:bCs/>
                <w:sz w:val="22"/>
                <w:szCs w:val="22"/>
                <w:lang w:val="en-US"/>
              </w:rPr>
            </w:pPr>
            <w:r w:rsidRPr="00AB655A">
              <w:rPr>
                <w:rFonts w:ascii="Tahoma" w:hAnsi="Tahoma" w:cs="Tahoma"/>
                <w:b/>
                <w:bCs/>
                <w:sz w:val="22"/>
                <w:szCs w:val="22"/>
                <w:lang w:val="en-US"/>
              </w:rPr>
              <w:t>Organizational structure:</w:t>
            </w:r>
            <w:r w:rsidR="006A75F2" w:rsidRPr="00AB655A">
              <w:rPr>
                <w:rFonts w:ascii="Tahoma" w:hAnsi="Tahoma" w:cs="Tahoma"/>
                <w:sz w:val="22"/>
                <w:szCs w:val="22"/>
                <w:lang w:val="en-US"/>
              </w:rPr>
              <w:t xml:space="preserve"> </w:t>
            </w:r>
            <w:r w:rsidRPr="00AB655A">
              <w:rPr>
                <w:rFonts w:ascii="Tahoma" w:hAnsi="Tahoma" w:cs="Tahoma"/>
                <w:sz w:val="22"/>
                <w:szCs w:val="22"/>
                <w:lang w:val="en-US"/>
              </w:rPr>
              <w:t xml:space="preserve">the Unit must be in the top tier of the organizational structure, which enables mainstreaming a gender approach in all units of the institution. </w:t>
            </w:r>
            <w:bookmarkStart w:id="9" w:name="_Hlk76498655"/>
            <w:r w:rsidRPr="00AB655A">
              <w:rPr>
                <w:rFonts w:ascii="Tahoma" w:hAnsi="Tahoma" w:cs="Tahoma"/>
                <w:sz w:val="22"/>
                <w:szCs w:val="22"/>
                <w:lang w:val="en-US"/>
              </w:rPr>
              <w:t>Ideally, it should be part of the administrative structure and within the</w:t>
            </w:r>
            <w:r w:rsidR="00B46521" w:rsidRPr="00AB655A">
              <w:rPr>
                <w:rFonts w:ascii="Tahoma" w:hAnsi="Tahoma" w:cs="Tahoma"/>
                <w:sz w:val="22"/>
                <w:szCs w:val="22"/>
                <w:lang w:val="en-US"/>
              </w:rPr>
              <w:t xml:space="preserve"> Ministry’s regulations (internal regulations, organizational manual)</w:t>
            </w:r>
            <w:r w:rsidR="007247FC" w:rsidRPr="00AB655A">
              <w:rPr>
                <w:rFonts w:ascii="Tahoma" w:hAnsi="Tahoma" w:cs="Tahoma"/>
                <w:sz w:val="22"/>
                <w:szCs w:val="22"/>
                <w:lang w:val="en-US"/>
              </w:rPr>
              <w:t>.</w:t>
            </w:r>
          </w:p>
          <w:p w14:paraId="2E0C2A77" w14:textId="77777777" w:rsidR="00EE6930" w:rsidRPr="00AB655A" w:rsidRDefault="00EE6930" w:rsidP="00EE6930">
            <w:pPr>
              <w:pStyle w:val="ListParagraph"/>
              <w:spacing w:line="288" w:lineRule="auto"/>
              <w:ind w:left="360"/>
              <w:jc w:val="both"/>
              <w:rPr>
                <w:rFonts w:ascii="Tahoma" w:hAnsi="Tahoma" w:cs="Tahoma"/>
                <w:b/>
                <w:bCs/>
                <w:sz w:val="22"/>
                <w:szCs w:val="22"/>
                <w:lang w:val="en-US"/>
              </w:rPr>
            </w:pPr>
          </w:p>
          <w:p w14:paraId="2C7F3614" w14:textId="33592AD8" w:rsidR="00B46521" w:rsidRPr="00AB655A" w:rsidRDefault="1D63E16D" w:rsidP="006A75F2">
            <w:pPr>
              <w:pStyle w:val="ListParagraph"/>
              <w:numPr>
                <w:ilvl w:val="0"/>
                <w:numId w:val="2"/>
              </w:numPr>
              <w:spacing w:line="288" w:lineRule="auto"/>
              <w:jc w:val="both"/>
              <w:rPr>
                <w:rFonts w:ascii="Tahoma" w:hAnsi="Tahoma" w:cs="Tahoma"/>
                <w:b/>
                <w:bCs/>
                <w:sz w:val="22"/>
                <w:szCs w:val="22"/>
                <w:lang w:val="en-US"/>
              </w:rPr>
            </w:pPr>
            <w:r w:rsidRPr="2425A842">
              <w:rPr>
                <w:rFonts w:ascii="Tahoma" w:hAnsi="Tahoma" w:cs="Tahoma"/>
                <w:b/>
                <w:bCs/>
                <w:sz w:val="22"/>
                <w:szCs w:val="22"/>
                <w:lang w:val="en-US"/>
              </w:rPr>
              <w:t>Staff</w:t>
            </w:r>
            <w:r w:rsidR="63BE2033" w:rsidRPr="2425A842">
              <w:rPr>
                <w:rFonts w:ascii="Tahoma" w:hAnsi="Tahoma" w:cs="Tahoma"/>
                <w:b/>
                <w:bCs/>
                <w:sz w:val="22"/>
                <w:szCs w:val="22"/>
                <w:lang w:val="en-US"/>
              </w:rPr>
              <w:t>:</w:t>
            </w:r>
            <w:r w:rsidR="63BE2033" w:rsidRPr="2425A842">
              <w:rPr>
                <w:rFonts w:ascii="Tahoma" w:hAnsi="Tahoma" w:cs="Tahoma"/>
                <w:sz w:val="22"/>
                <w:szCs w:val="22"/>
                <w:lang w:val="en-US"/>
              </w:rPr>
              <w:t xml:space="preserve"> </w:t>
            </w:r>
            <w:r w:rsidRPr="2425A842">
              <w:rPr>
                <w:rFonts w:ascii="Tahoma" w:hAnsi="Tahoma" w:cs="Tahoma"/>
                <w:sz w:val="22"/>
                <w:szCs w:val="22"/>
                <w:lang w:val="en-US"/>
              </w:rPr>
              <w:t>depending on the organizational structure established for the Gender Unit, it should consist of a team that is sensitized and trained</w:t>
            </w:r>
            <w:r w:rsidRPr="2425A842">
              <w:rPr>
                <w:rFonts w:ascii="Tahoma" w:hAnsi="Tahoma" w:cs="Tahoma"/>
                <w:sz w:val="22"/>
                <w:szCs w:val="22"/>
                <w:lang w:val="en-US"/>
              </w:rPr>
              <w:t>,</w:t>
            </w:r>
            <w:r w:rsidRPr="2425A842">
              <w:rPr>
                <w:rFonts w:ascii="Tahoma" w:hAnsi="Tahoma" w:cs="Tahoma"/>
                <w:sz w:val="22"/>
                <w:szCs w:val="22"/>
                <w:lang w:val="en-US"/>
              </w:rPr>
              <w:t xml:space="preserve"> and that performs administrative and operational functions to ensure and promote a gender </w:t>
            </w:r>
            <w:r w:rsidR="783D766F" w:rsidRPr="2425A842">
              <w:rPr>
                <w:rFonts w:ascii="Tahoma" w:hAnsi="Tahoma" w:cs="Tahoma"/>
                <w:sz w:val="22"/>
                <w:szCs w:val="22"/>
                <w:lang w:val="en-US"/>
              </w:rPr>
              <w:t xml:space="preserve">and rights-based </w:t>
            </w:r>
            <w:r w:rsidRPr="2425A842">
              <w:rPr>
                <w:rFonts w:ascii="Tahoma" w:hAnsi="Tahoma" w:cs="Tahoma"/>
                <w:sz w:val="22"/>
                <w:szCs w:val="22"/>
                <w:lang w:val="en-US"/>
              </w:rPr>
              <w:t xml:space="preserve">approach in the institution’s policies, programs, and budgets. The staff must be qualified, </w:t>
            </w:r>
            <w:r w:rsidRPr="2425A842">
              <w:rPr>
                <w:rFonts w:ascii="Tahoma" w:hAnsi="Tahoma" w:cs="Tahoma"/>
                <w:sz w:val="22"/>
                <w:szCs w:val="22"/>
                <w:lang w:val="en-US"/>
              </w:rPr>
              <w:t>full-time</w:t>
            </w:r>
            <w:r w:rsidRPr="2425A842">
              <w:rPr>
                <w:rFonts w:ascii="Tahoma" w:hAnsi="Tahoma" w:cs="Tahoma"/>
                <w:sz w:val="22"/>
                <w:szCs w:val="22"/>
                <w:lang w:val="en-US"/>
              </w:rPr>
              <w:t xml:space="preserve">, and work exclusively on the issue that is inherent to the Unit. </w:t>
            </w:r>
          </w:p>
          <w:p w14:paraId="6C5B346A" w14:textId="77777777" w:rsidR="00B46521" w:rsidRPr="00AB655A" w:rsidRDefault="00B46521" w:rsidP="00B46521">
            <w:pPr>
              <w:pStyle w:val="ListParagraph"/>
              <w:rPr>
                <w:rFonts w:ascii="Tahoma" w:hAnsi="Tahoma" w:cs="Tahoma"/>
                <w:sz w:val="22"/>
                <w:szCs w:val="22"/>
                <w:lang w:val="en-US"/>
              </w:rPr>
            </w:pPr>
          </w:p>
          <w:p w14:paraId="14DBDF53" w14:textId="2F69D8D2" w:rsidR="00B46521" w:rsidRPr="00AB655A" w:rsidRDefault="00B46521" w:rsidP="00EB2D0E">
            <w:pPr>
              <w:pStyle w:val="ListParagraph"/>
              <w:numPr>
                <w:ilvl w:val="0"/>
                <w:numId w:val="2"/>
              </w:numPr>
              <w:spacing w:line="288" w:lineRule="auto"/>
              <w:jc w:val="both"/>
              <w:rPr>
                <w:rFonts w:ascii="Tahoma" w:hAnsi="Tahoma" w:cs="Tahoma"/>
                <w:b/>
                <w:bCs/>
                <w:sz w:val="22"/>
                <w:szCs w:val="22"/>
                <w:lang w:val="en-US"/>
              </w:rPr>
            </w:pPr>
            <w:r w:rsidRPr="00AB655A">
              <w:rPr>
                <w:rFonts w:ascii="Tahoma" w:hAnsi="Tahoma" w:cs="Tahoma"/>
                <w:b/>
                <w:bCs/>
                <w:sz w:val="22"/>
                <w:szCs w:val="22"/>
                <w:lang w:val="en-US"/>
              </w:rPr>
              <w:t>Scope</w:t>
            </w:r>
            <w:r w:rsidR="006A75F2" w:rsidRPr="00AB655A">
              <w:rPr>
                <w:rFonts w:ascii="Tahoma" w:hAnsi="Tahoma" w:cs="Tahoma"/>
                <w:b/>
                <w:bCs/>
                <w:sz w:val="22"/>
                <w:szCs w:val="22"/>
                <w:lang w:val="en-US"/>
              </w:rPr>
              <w:t>:</w:t>
            </w:r>
            <w:r w:rsidR="006A75F2" w:rsidRPr="00AB655A">
              <w:rPr>
                <w:rFonts w:ascii="Tahoma" w:hAnsi="Tahoma" w:cs="Tahoma"/>
                <w:sz w:val="22"/>
                <w:szCs w:val="22"/>
                <w:lang w:val="en-US"/>
              </w:rPr>
              <w:t xml:space="preserve"> </w:t>
            </w:r>
            <w:r w:rsidRPr="00AB655A">
              <w:rPr>
                <w:rFonts w:ascii="Tahoma" w:hAnsi="Tahoma" w:cs="Tahoma"/>
                <w:sz w:val="22"/>
                <w:szCs w:val="22"/>
                <w:lang w:val="en-US"/>
              </w:rPr>
              <w:t>establish regular and systematic communication with the institution head and key areas. In other words, planning, programming and budget, human resources, and operational areas to impact institutional planning.</w:t>
            </w:r>
          </w:p>
          <w:p w14:paraId="31AFFF64" w14:textId="77777777" w:rsidR="00EE6930" w:rsidRPr="00AB655A" w:rsidRDefault="00EE6930" w:rsidP="00EE6930">
            <w:pPr>
              <w:pStyle w:val="ListParagraph"/>
              <w:rPr>
                <w:rFonts w:ascii="Tahoma" w:hAnsi="Tahoma" w:cs="Tahoma"/>
                <w:b/>
                <w:bCs/>
                <w:sz w:val="22"/>
                <w:szCs w:val="22"/>
                <w:lang w:val="en-US"/>
              </w:rPr>
            </w:pPr>
          </w:p>
          <w:p w14:paraId="2EF4DFA2" w14:textId="57F698D4" w:rsidR="00B46521" w:rsidRPr="00AB655A" w:rsidRDefault="00B46521" w:rsidP="00EB2D0E">
            <w:pPr>
              <w:pStyle w:val="ListParagraph"/>
              <w:numPr>
                <w:ilvl w:val="0"/>
                <w:numId w:val="2"/>
              </w:numPr>
              <w:spacing w:line="288" w:lineRule="auto"/>
              <w:jc w:val="both"/>
              <w:rPr>
                <w:rFonts w:ascii="Tahoma" w:hAnsi="Tahoma" w:cs="Tahoma"/>
                <w:b/>
                <w:bCs/>
                <w:sz w:val="22"/>
                <w:szCs w:val="22"/>
                <w:lang w:val="en-US"/>
              </w:rPr>
            </w:pPr>
            <w:r w:rsidRPr="00AB655A">
              <w:rPr>
                <w:rFonts w:ascii="Tahoma" w:hAnsi="Tahoma" w:cs="Tahoma"/>
                <w:b/>
                <w:bCs/>
                <w:sz w:val="22"/>
                <w:szCs w:val="22"/>
                <w:lang w:val="en-US"/>
              </w:rPr>
              <w:t>Budget</w:t>
            </w:r>
            <w:r w:rsidR="006A75F2" w:rsidRPr="00AB655A">
              <w:rPr>
                <w:rFonts w:ascii="Tahoma" w:hAnsi="Tahoma" w:cs="Tahoma"/>
                <w:b/>
                <w:bCs/>
                <w:sz w:val="22"/>
                <w:szCs w:val="22"/>
                <w:lang w:val="en-US"/>
              </w:rPr>
              <w:t>:</w:t>
            </w:r>
            <w:r w:rsidRPr="00AB655A">
              <w:rPr>
                <w:rFonts w:ascii="Tahoma" w:hAnsi="Tahoma" w:cs="Tahoma"/>
                <w:b/>
                <w:bCs/>
                <w:sz w:val="22"/>
                <w:szCs w:val="22"/>
                <w:lang w:val="en-US"/>
              </w:rPr>
              <w:t xml:space="preserve"> </w:t>
            </w:r>
            <w:proofErr w:type="gramStart"/>
            <w:r w:rsidRPr="00AB655A">
              <w:rPr>
                <w:rFonts w:ascii="Tahoma" w:hAnsi="Tahoma" w:cs="Tahoma"/>
                <w:bCs/>
                <w:sz w:val="22"/>
                <w:szCs w:val="22"/>
                <w:lang w:val="en-US"/>
              </w:rPr>
              <w:t>the</w:t>
            </w:r>
            <w:proofErr w:type="gramEnd"/>
            <w:r w:rsidRPr="00AB655A">
              <w:rPr>
                <w:rFonts w:ascii="Tahoma" w:hAnsi="Tahoma" w:cs="Tahoma"/>
                <w:bCs/>
                <w:sz w:val="22"/>
                <w:szCs w:val="22"/>
                <w:lang w:val="en-US"/>
              </w:rPr>
              <w:t xml:space="preserve"> Unit must have a dedicated budget that is appropriate for the planned activities. </w:t>
            </w:r>
          </w:p>
          <w:p w14:paraId="031905AA" w14:textId="77777777" w:rsidR="00B46521" w:rsidRPr="00AB655A" w:rsidRDefault="00B46521" w:rsidP="00B46521">
            <w:pPr>
              <w:pStyle w:val="ListParagraph"/>
              <w:rPr>
                <w:rFonts w:ascii="Tahoma" w:hAnsi="Tahoma" w:cs="Tahoma"/>
                <w:b/>
                <w:bCs/>
                <w:sz w:val="22"/>
                <w:szCs w:val="22"/>
                <w:lang w:val="en-US"/>
              </w:rPr>
            </w:pPr>
          </w:p>
          <w:p w14:paraId="40B65030" w14:textId="5976E676" w:rsidR="00EE6930" w:rsidRPr="00AB655A" w:rsidRDefault="00B46521" w:rsidP="00CC1126">
            <w:pPr>
              <w:pStyle w:val="ListParagraph"/>
              <w:numPr>
                <w:ilvl w:val="0"/>
                <w:numId w:val="2"/>
              </w:numPr>
              <w:spacing w:line="288" w:lineRule="auto"/>
              <w:jc w:val="both"/>
              <w:rPr>
                <w:rFonts w:ascii="Tahoma" w:hAnsi="Tahoma" w:cs="Tahoma"/>
                <w:sz w:val="22"/>
                <w:szCs w:val="22"/>
                <w:lang w:val="en-US"/>
              </w:rPr>
            </w:pPr>
            <w:r w:rsidRPr="00AB655A">
              <w:rPr>
                <w:rFonts w:ascii="Tahoma" w:hAnsi="Tahoma" w:cs="Tahoma"/>
                <w:b/>
                <w:bCs/>
                <w:sz w:val="22"/>
                <w:szCs w:val="22"/>
                <w:lang w:val="en-US"/>
              </w:rPr>
              <w:t>Physical space</w:t>
            </w:r>
            <w:r w:rsidR="006A75F2" w:rsidRPr="00AB655A">
              <w:rPr>
                <w:rFonts w:ascii="Tahoma" w:hAnsi="Tahoma" w:cs="Tahoma"/>
                <w:b/>
                <w:bCs/>
                <w:sz w:val="22"/>
                <w:szCs w:val="22"/>
                <w:lang w:val="en-US"/>
              </w:rPr>
              <w:t xml:space="preserve">: </w:t>
            </w:r>
            <w:r w:rsidR="00CC1126" w:rsidRPr="00AB655A">
              <w:rPr>
                <w:rFonts w:ascii="Tahoma" w:hAnsi="Tahoma" w:cs="Tahoma"/>
                <w:bCs/>
                <w:sz w:val="22"/>
                <w:szCs w:val="22"/>
                <w:lang w:val="en-US"/>
              </w:rPr>
              <w:t xml:space="preserve">it must have </w:t>
            </w:r>
            <w:r w:rsidR="001D74B8" w:rsidRPr="00AB655A">
              <w:rPr>
                <w:rFonts w:ascii="Tahoma" w:hAnsi="Tahoma" w:cs="Tahoma"/>
                <w:bCs/>
                <w:sz w:val="22"/>
                <w:szCs w:val="22"/>
                <w:lang w:val="en-US"/>
              </w:rPr>
              <w:t xml:space="preserve">a </w:t>
            </w:r>
            <w:r w:rsidR="00CC1126" w:rsidRPr="00AB655A">
              <w:rPr>
                <w:rFonts w:ascii="Tahoma" w:hAnsi="Tahoma" w:cs="Tahoma"/>
                <w:bCs/>
                <w:sz w:val="22"/>
                <w:szCs w:val="22"/>
                <w:lang w:val="en-US"/>
              </w:rPr>
              <w:t>work area and facilities that are equal to those established for other Ministry units.</w:t>
            </w:r>
            <w:bookmarkEnd w:id="9"/>
          </w:p>
        </w:tc>
      </w:tr>
    </w:tbl>
    <w:p w14:paraId="24276E26" w14:textId="78001B25" w:rsidR="00417D64" w:rsidRPr="00AB655A" w:rsidRDefault="00417D64" w:rsidP="007C4A36">
      <w:pPr>
        <w:spacing w:line="288" w:lineRule="auto"/>
        <w:ind w:left="360"/>
        <w:jc w:val="both"/>
        <w:rPr>
          <w:rFonts w:ascii="Tahoma" w:hAnsi="Tahoma" w:cs="Tahoma"/>
          <w:b/>
          <w:bCs/>
          <w:sz w:val="22"/>
          <w:szCs w:val="22"/>
          <w:lang w:val="en-US"/>
        </w:rPr>
      </w:pPr>
    </w:p>
    <w:p w14:paraId="371E42E4" w14:textId="77777777" w:rsidR="00417D64" w:rsidRPr="00AB655A" w:rsidRDefault="00417D64">
      <w:pPr>
        <w:rPr>
          <w:rFonts w:ascii="Tahoma" w:hAnsi="Tahoma" w:cs="Tahoma"/>
          <w:b/>
          <w:bCs/>
          <w:sz w:val="22"/>
          <w:szCs w:val="22"/>
          <w:lang w:val="en-US"/>
        </w:rPr>
      </w:pPr>
      <w:r w:rsidRPr="00AB655A">
        <w:rPr>
          <w:rFonts w:ascii="Tahoma" w:hAnsi="Tahoma" w:cs="Tahoma"/>
          <w:b/>
          <w:bCs/>
          <w:sz w:val="22"/>
          <w:szCs w:val="22"/>
          <w:lang w:val="en-US"/>
        </w:rPr>
        <w:br w:type="page"/>
      </w:r>
    </w:p>
    <w:p w14:paraId="6589F16F" w14:textId="77777777" w:rsidR="00CE64B1" w:rsidRPr="00AB655A" w:rsidRDefault="00CE64B1" w:rsidP="007C4A36">
      <w:pPr>
        <w:spacing w:line="288" w:lineRule="auto"/>
        <w:ind w:left="360"/>
        <w:jc w:val="both"/>
        <w:rPr>
          <w:rFonts w:ascii="Tahoma" w:hAnsi="Tahoma" w:cs="Tahoma"/>
          <w:b/>
          <w:bCs/>
          <w:sz w:val="22"/>
          <w:szCs w:val="22"/>
          <w:lang w:val="en-US"/>
        </w:rPr>
      </w:pPr>
    </w:p>
    <w:p w14:paraId="245542A0" w14:textId="3CB856F5" w:rsidR="00397324" w:rsidRPr="00AB655A" w:rsidRDefault="6D8D9BDC" w:rsidP="007C4A36">
      <w:pPr>
        <w:pStyle w:val="Heading1"/>
        <w:numPr>
          <w:ilvl w:val="0"/>
          <w:numId w:val="3"/>
        </w:numPr>
        <w:rPr>
          <w:lang w:val="en-US"/>
        </w:rPr>
      </w:pPr>
      <w:r w:rsidRPr="2425A842">
        <w:rPr>
          <w:lang w:val="en-US"/>
        </w:rPr>
        <w:t>What are the functions of a specialized gender unit?</w:t>
      </w:r>
    </w:p>
    <w:p w14:paraId="4F98B57C" w14:textId="77777777" w:rsidR="007C4A36" w:rsidRPr="00AB655A" w:rsidRDefault="007C4A36" w:rsidP="007C4A36">
      <w:pPr>
        <w:jc w:val="both"/>
        <w:rPr>
          <w:rFonts w:ascii="Tahoma" w:hAnsi="Tahoma" w:cs="Tahoma"/>
          <w:sz w:val="22"/>
          <w:szCs w:val="22"/>
          <w:lang w:val="en-US"/>
        </w:rPr>
      </w:pPr>
    </w:p>
    <w:p w14:paraId="00BC5311" w14:textId="4BDB7867" w:rsidR="00334168" w:rsidRPr="00AB655A" w:rsidRDefault="00FE7FEB" w:rsidP="00FE7FEB">
      <w:pPr>
        <w:jc w:val="both"/>
        <w:rPr>
          <w:rFonts w:ascii="Tahoma" w:hAnsi="Tahoma" w:cs="Tahoma"/>
          <w:sz w:val="22"/>
          <w:szCs w:val="22"/>
          <w:lang w:val="en-US"/>
        </w:rPr>
      </w:pPr>
      <w:r w:rsidRPr="00AB655A">
        <w:rPr>
          <w:rFonts w:ascii="Tahoma" w:hAnsi="Tahoma" w:cs="Tahoma"/>
          <w:sz w:val="22"/>
          <w:szCs w:val="22"/>
          <w:lang w:val="en-US"/>
        </w:rPr>
        <w:t>The context of each institution will affect the functions of the Specialized Gender Unit. However, there are some generic functions:</w:t>
      </w:r>
      <w:r w:rsidR="003B749A" w:rsidRPr="00AB655A">
        <w:rPr>
          <w:rStyle w:val="FootnoteReference"/>
          <w:rFonts w:ascii="Tahoma" w:hAnsi="Tahoma" w:cs="Tahoma"/>
          <w:sz w:val="22"/>
          <w:szCs w:val="22"/>
          <w:lang w:val="en-US"/>
        </w:rPr>
        <w:footnoteReference w:id="15"/>
      </w:r>
    </w:p>
    <w:p w14:paraId="3DA6E920" w14:textId="71385926" w:rsidR="00FE7FEB" w:rsidRPr="00AB655A" w:rsidRDefault="00FE7FEB" w:rsidP="007C4A36">
      <w:pPr>
        <w:pStyle w:val="ListParagraph"/>
        <w:numPr>
          <w:ilvl w:val="0"/>
          <w:numId w:val="7"/>
        </w:numPr>
        <w:spacing w:line="288" w:lineRule="auto"/>
        <w:ind w:left="426" w:hanging="426"/>
        <w:jc w:val="both"/>
        <w:rPr>
          <w:rFonts w:ascii="Tahoma" w:hAnsi="Tahoma" w:cs="Tahoma"/>
          <w:sz w:val="22"/>
          <w:szCs w:val="22"/>
          <w:lang w:val="en-US"/>
        </w:rPr>
      </w:pPr>
      <w:r w:rsidRPr="00AB655A">
        <w:rPr>
          <w:rFonts w:ascii="Tahoma" w:hAnsi="Tahoma" w:cs="Tahoma"/>
          <w:sz w:val="22"/>
          <w:szCs w:val="22"/>
          <w:lang w:val="en-US"/>
        </w:rPr>
        <w:t>Provide technical assistance to the different Ministry units regarding the strategies to</w:t>
      </w:r>
      <w:r w:rsidR="00404623">
        <w:rPr>
          <w:rFonts w:ascii="Tahoma" w:hAnsi="Tahoma" w:cs="Tahoma"/>
          <w:sz w:val="22"/>
          <w:szCs w:val="22"/>
          <w:lang w:val="en-US"/>
        </w:rPr>
        <w:t xml:space="preserve"> establish,</w:t>
      </w:r>
      <w:r w:rsidRPr="00AB655A">
        <w:rPr>
          <w:rFonts w:ascii="Tahoma" w:hAnsi="Tahoma" w:cs="Tahoma"/>
          <w:sz w:val="22"/>
          <w:szCs w:val="22"/>
          <w:lang w:val="en-US"/>
        </w:rPr>
        <w:t xml:space="preserve"> implement</w:t>
      </w:r>
      <w:r w:rsidR="00404623">
        <w:rPr>
          <w:rFonts w:ascii="Tahoma" w:hAnsi="Tahoma" w:cs="Tahoma"/>
          <w:sz w:val="22"/>
          <w:szCs w:val="22"/>
          <w:lang w:val="en-US"/>
        </w:rPr>
        <w:t>, and monitor</w:t>
      </w:r>
      <w:r w:rsidRPr="00AB655A">
        <w:rPr>
          <w:rFonts w:ascii="Tahoma" w:hAnsi="Tahoma" w:cs="Tahoma"/>
          <w:sz w:val="22"/>
          <w:szCs w:val="22"/>
          <w:lang w:val="en-US"/>
        </w:rPr>
        <w:t xml:space="preserve"> policies with a gender approach. </w:t>
      </w:r>
    </w:p>
    <w:p w14:paraId="131E28DB" w14:textId="6491F2BE" w:rsidR="000172A9" w:rsidRPr="00AB655A" w:rsidRDefault="000172A9" w:rsidP="007C4A36">
      <w:pPr>
        <w:pStyle w:val="ListParagraph"/>
        <w:spacing w:line="288" w:lineRule="auto"/>
        <w:ind w:left="426"/>
        <w:jc w:val="both"/>
        <w:rPr>
          <w:rFonts w:ascii="Tahoma" w:hAnsi="Tahoma" w:cs="Tahoma"/>
          <w:sz w:val="22"/>
          <w:szCs w:val="22"/>
          <w:lang w:val="en-US"/>
        </w:rPr>
      </w:pPr>
    </w:p>
    <w:p w14:paraId="6001C234" w14:textId="4151387C" w:rsidR="00FE7FEB" w:rsidRPr="00AB655A" w:rsidRDefault="00FE7FEB" w:rsidP="007C4A36">
      <w:pPr>
        <w:pStyle w:val="ListParagraph"/>
        <w:numPr>
          <w:ilvl w:val="0"/>
          <w:numId w:val="1"/>
        </w:numPr>
        <w:spacing w:line="288" w:lineRule="auto"/>
        <w:ind w:left="426" w:hanging="426"/>
        <w:jc w:val="both"/>
        <w:rPr>
          <w:rFonts w:ascii="Tahoma" w:hAnsi="Tahoma" w:cs="Tahoma"/>
          <w:sz w:val="22"/>
          <w:szCs w:val="22"/>
          <w:lang w:val="en-US"/>
        </w:rPr>
      </w:pPr>
      <w:r w:rsidRPr="00AB655A">
        <w:rPr>
          <w:rFonts w:ascii="Tahoma" w:hAnsi="Tahoma" w:cs="Tahoma"/>
          <w:sz w:val="22"/>
          <w:szCs w:val="22"/>
          <w:lang w:val="en-US"/>
        </w:rPr>
        <w:t>Influence legislative actions promoted by the Ministry to ensure women’s equ</w:t>
      </w:r>
      <w:r w:rsidR="00404623">
        <w:rPr>
          <w:rFonts w:ascii="Tahoma" w:hAnsi="Tahoma" w:cs="Tahoma"/>
          <w:sz w:val="22"/>
          <w:szCs w:val="22"/>
          <w:lang w:val="en-US"/>
        </w:rPr>
        <w:t>al</w:t>
      </w:r>
      <w:r w:rsidRPr="00AB655A">
        <w:rPr>
          <w:rFonts w:ascii="Tahoma" w:hAnsi="Tahoma" w:cs="Tahoma"/>
          <w:sz w:val="22"/>
          <w:szCs w:val="22"/>
          <w:lang w:val="en-US"/>
        </w:rPr>
        <w:t xml:space="preserve"> and non-discriminatory access to the labor market.</w:t>
      </w:r>
    </w:p>
    <w:p w14:paraId="0130E83F" w14:textId="77777777" w:rsidR="00686A42" w:rsidRPr="00AB655A" w:rsidRDefault="00686A42" w:rsidP="007C4A36">
      <w:pPr>
        <w:pStyle w:val="ListParagraph"/>
        <w:spacing w:line="288" w:lineRule="auto"/>
        <w:ind w:left="426"/>
        <w:jc w:val="both"/>
        <w:rPr>
          <w:rFonts w:ascii="Tahoma" w:hAnsi="Tahoma" w:cs="Tahoma"/>
          <w:sz w:val="22"/>
          <w:szCs w:val="22"/>
          <w:lang w:val="en-US"/>
        </w:rPr>
      </w:pPr>
    </w:p>
    <w:p w14:paraId="189051D8" w14:textId="00E51EEC" w:rsidR="00FE7FEB" w:rsidRPr="00AB655A" w:rsidRDefault="00FE7FEB" w:rsidP="007C4A36">
      <w:pPr>
        <w:pStyle w:val="ListParagraph"/>
        <w:numPr>
          <w:ilvl w:val="0"/>
          <w:numId w:val="1"/>
        </w:numPr>
        <w:spacing w:line="288" w:lineRule="auto"/>
        <w:ind w:left="360" w:hanging="426"/>
        <w:jc w:val="both"/>
        <w:rPr>
          <w:rFonts w:ascii="Tahoma" w:hAnsi="Tahoma" w:cs="Tahoma"/>
          <w:sz w:val="22"/>
          <w:szCs w:val="22"/>
          <w:lang w:val="en-US"/>
        </w:rPr>
      </w:pPr>
      <w:r w:rsidRPr="00AB655A">
        <w:rPr>
          <w:rFonts w:ascii="Tahoma" w:hAnsi="Tahoma" w:cs="Tahoma"/>
          <w:sz w:val="22"/>
          <w:szCs w:val="22"/>
          <w:lang w:val="en-US"/>
        </w:rPr>
        <w:t xml:space="preserve">Plan internal strategies and lines of action to establish an institutional culture that fosters an environment that is free from harassment, discrimination, and violence, and with equal opportunities and treatment for </w:t>
      </w:r>
      <w:r w:rsidR="00F24C03">
        <w:rPr>
          <w:rFonts w:ascii="Tahoma" w:hAnsi="Tahoma" w:cs="Tahoma"/>
          <w:sz w:val="22"/>
          <w:szCs w:val="22"/>
          <w:lang w:val="en-US"/>
        </w:rPr>
        <w:t>all workers</w:t>
      </w:r>
      <w:r w:rsidRPr="00AB655A">
        <w:rPr>
          <w:rFonts w:ascii="Tahoma" w:hAnsi="Tahoma" w:cs="Tahoma"/>
          <w:sz w:val="22"/>
          <w:szCs w:val="22"/>
          <w:lang w:val="en-US"/>
        </w:rPr>
        <w:t xml:space="preserve">. </w:t>
      </w:r>
    </w:p>
    <w:p w14:paraId="73A08E01" w14:textId="77777777" w:rsidR="00FE7FEB" w:rsidRPr="00AB655A" w:rsidRDefault="00FE7FEB" w:rsidP="00FE7FEB">
      <w:pPr>
        <w:pStyle w:val="ListParagraph"/>
        <w:rPr>
          <w:rFonts w:ascii="Tahoma" w:hAnsi="Tahoma" w:cs="Tahoma"/>
          <w:sz w:val="22"/>
          <w:szCs w:val="22"/>
          <w:lang w:val="en-US"/>
        </w:rPr>
      </w:pPr>
    </w:p>
    <w:p w14:paraId="0837794B" w14:textId="4D9DF136" w:rsidR="001E2DE9" w:rsidRPr="00AB655A" w:rsidRDefault="007652F3" w:rsidP="007652F3">
      <w:pPr>
        <w:pStyle w:val="ListParagraph"/>
        <w:numPr>
          <w:ilvl w:val="0"/>
          <w:numId w:val="1"/>
        </w:numPr>
        <w:spacing w:line="288" w:lineRule="auto"/>
        <w:ind w:left="360" w:hanging="426"/>
        <w:jc w:val="both"/>
        <w:rPr>
          <w:rFonts w:ascii="Tahoma" w:hAnsi="Tahoma" w:cs="Tahoma"/>
          <w:sz w:val="22"/>
          <w:szCs w:val="22"/>
          <w:lang w:val="en-US"/>
        </w:rPr>
      </w:pPr>
      <w:r w:rsidRPr="00AB655A">
        <w:rPr>
          <w:rFonts w:ascii="Tahoma" w:hAnsi="Tahoma" w:cs="Tahoma"/>
          <w:sz w:val="22"/>
          <w:szCs w:val="22"/>
          <w:lang w:val="en-US"/>
        </w:rPr>
        <w:t>Design and implement processes to develop the gender</w:t>
      </w:r>
      <w:r w:rsidR="00F24C03">
        <w:rPr>
          <w:rFonts w:ascii="Tahoma" w:hAnsi="Tahoma" w:cs="Tahoma"/>
          <w:sz w:val="22"/>
          <w:szCs w:val="22"/>
          <w:lang w:val="en-US"/>
        </w:rPr>
        <w:t xml:space="preserve"> </w:t>
      </w:r>
      <w:r w:rsidR="00F24C03">
        <w:rPr>
          <w:rFonts w:ascii="Tahoma" w:hAnsi="Tahoma" w:cs="Tahoma"/>
          <w:sz w:val="22"/>
          <w:szCs w:val="22"/>
          <w:lang w:val="en-US"/>
        </w:rPr>
        <w:t>and human rights</w:t>
      </w:r>
      <w:r w:rsidRPr="00AB655A">
        <w:rPr>
          <w:rFonts w:ascii="Tahoma" w:hAnsi="Tahoma" w:cs="Tahoma"/>
          <w:sz w:val="22"/>
          <w:szCs w:val="22"/>
          <w:lang w:val="en-US"/>
        </w:rPr>
        <w:t xml:space="preserve"> </w:t>
      </w:r>
      <w:r w:rsidR="009374A9">
        <w:rPr>
          <w:rFonts w:ascii="Tahoma" w:hAnsi="Tahoma" w:cs="Tahoma"/>
          <w:sz w:val="22"/>
          <w:szCs w:val="22"/>
          <w:lang w:val="en-US"/>
        </w:rPr>
        <w:t xml:space="preserve">expertise </w:t>
      </w:r>
      <w:r w:rsidRPr="00AB655A">
        <w:rPr>
          <w:rFonts w:ascii="Tahoma" w:hAnsi="Tahoma" w:cs="Tahoma"/>
          <w:sz w:val="22"/>
          <w:szCs w:val="22"/>
          <w:lang w:val="en-US"/>
        </w:rPr>
        <w:t xml:space="preserve">of the Ministry staff. These efforts provide them with practical and necessary knowledge to identify gender </w:t>
      </w:r>
      <w:r w:rsidR="005B71DC" w:rsidRPr="00AB655A">
        <w:rPr>
          <w:rFonts w:ascii="Tahoma" w:hAnsi="Tahoma" w:cs="Tahoma"/>
          <w:sz w:val="22"/>
          <w:szCs w:val="22"/>
          <w:lang w:val="en-US"/>
        </w:rPr>
        <w:t>inequities</w:t>
      </w:r>
      <w:r w:rsidRPr="00AB655A">
        <w:rPr>
          <w:rFonts w:ascii="Tahoma" w:hAnsi="Tahoma" w:cs="Tahoma"/>
          <w:sz w:val="22"/>
          <w:szCs w:val="22"/>
          <w:lang w:val="en-US"/>
        </w:rPr>
        <w:t>, gaps, and obstacles, and facilitate mainstreaming the gender approach.</w:t>
      </w:r>
    </w:p>
    <w:p w14:paraId="170BC492" w14:textId="77777777" w:rsidR="001939B2" w:rsidRPr="00AB655A" w:rsidRDefault="001939B2" w:rsidP="007C4A36">
      <w:pPr>
        <w:pStyle w:val="ListParagraph"/>
        <w:rPr>
          <w:rFonts w:ascii="Tahoma" w:hAnsi="Tahoma" w:cs="Tahoma"/>
          <w:sz w:val="22"/>
          <w:szCs w:val="22"/>
          <w:lang w:val="en-US"/>
        </w:rPr>
      </w:pPr>
    </w:p>
    <w:p w14:paraId="702C5421" w14:textId="5A5C02AE" w:rsidR="007652F3" w:rsidRPr="00AB655A" w:rsidRDefault="007652F3" w:rsidP="007C4A36">
      <w:pPr>
        <w:pStyle w:val="ListParagraph"/>
        <w:numPr>
          <w:ilvl w:val="0"/>
          <w:numId w:val="1"/>
        </w:numPr>
        <w:ind w:left="426" w:hanging="426"/>
        <w:jc w:val="both"/>
        <w:rPr>
          <w:rFonts w:ascii="Tahoma" w:hAnsi="Tahoma" w:cs="Tahoma"/>
          <w:sz w:val="22"/>
          <w:szCs w:val="22"/>
          <w:lang w:val="en-US"/>
        </w:rPr>
      </w:pPr>
      <w:r w:rsidRPr="00AB655A">
        <w:rPr>
          <w:rFonts w:ascii="Tahoma" w:hAnsi="Tahoma" w:cs="Tahoma"/>
          <w:sz w:val="22"/>
          <w:szCs w:val="22"/>
          <w:lang w:val="en-US"/>
        </w:rPr>
        <w:t xml:space="preserve">Advise the Ministry’s competent authorities </w:t>
      </w:r>
      <w:r w:rsidR="000760D7">
        <w:rPr>
          <w:rFonts w:ascii="Tahoma" w:hAnsi="Tahoma" w:cs="Tahoma"/>
          <w:sz w:val="22"/>
          <w:szCs w:val="22"/>
          <w:lang w:val="en-US"/>
        </w:rPr>
        <w:t xml:space="preserve">in </w:t>
      </w:r>
      <w:r w:rsidR="00E04696">
        <w:rPr>
          <w:rFonts w:ascii="Tahoma" w:hAnsi="Tahoma" w:cs="Tahoma"/>
          <w:sz w:val="22"/>
          <w:szCs w:val="22"/>
          <w:lang w:val="en-US"/>
        </w:rPr>
        <w:t>responding to</w:t>
      </w:r>
      <w:r w:rsidRPr="00AB655A">
        <w:rPr>
          <w:rFonts w:ascii="Tahoma" w:hAnsi="Tahoma" w:cs="Tahoma"/>
          <w:sz w:val="22"/>
          <w:szCs w:val="22"/>
          <w:lang w:val="en-US"/>
        </w:rPr>
        <w:t xml:space="preserve"> reports </w:t>
      </w:r>
      <w:r w:rsidR="00E04696">
        <w:rPr>
          <w:rFonts w:ascii="Tahoma" w:hAnsi="Tahoma" w:cs="Tahoma"/>
          <w:sz w:val="22"/>
          <w:szCs w:val="22"/>
          <w:lang w:val="en-US"/>
        </w:rPr>
        <w:t xml:space="preserve">or accusations </w:t>
      </w:r>
      <w:r w:rsidRPr="00AB655A">
        <w:rPr>
          <w:rFonts w:ascii="Tahoma" w:hAnsi="Tahoma" w:cs="Tahoma"/>
          <w:sz w:val="22"/>
          <w:szCs w:val="22"/>
          <w:lang w:val="en-US"/>
        </w:rPr>
        <w:t xml:space="preserve">of any type of </w:t>
      </w:r>
      <w:r w:rsidR="00F54E24">
        <w:rPr>
          <w:rFonts w:ascii="Tahoma" w:hAnsi="Tahoma" w:cs="Tahoma"/>
          <w:sz w:val="22"/>
          <w:szCs w:val="22"/>
          <w:lang w:val="en-US"/>
        </w:rPr>
        <w:t xml:space="preserve">gender-based harassment, </w:t>
      </w:r>
      <w:r w:rsidRPr="00AB655A">
        <w:rPr>
          <w:rFonts w:ascii="Tahoma" w:hAnsi="Tahoma" w:cs="Tahoma"/>
          <w:sz w:val="22"/>
          <w:szCs w:val="22"/>
          <w:lang w:val="en-US"/>
        </w:rPr>
        <w:t>discrimination,</w:t>
      </w:r>
      <w:r w:rsidR="00F54E24">
        <w:rPr>
          <w:rFonts w:ascii="Tahoma" w:hAnsi="Tahoma" w:cs="Tahoma"/>
          <w:sz w:val="22"/>
          <w:szCs w:val="22"/>
          <w:lang w:val="en-US"/>
        </w:rPr>
        <w:t xml:space="preserve"> and/or violence at work</w:t>
      </w:r>
      <w:r w:rsidRPr="00AB655A">
        <w:rPr>
          <w:rFonts w:ascii="Tahoma" w:hAnsi="Tahoma" w:cs="Tahoma"/>
          <w:sz w:val="22"/>
          <w:szCs w:val="22"/>
          <w:lang w:val="en-US"/>
        </w:rPr>
        <w:t xml:space="preserve"> both in the internal actions and the services it provides. </w:t>
      </w:r>
    </w:p>
    <w:p w14:paraId="6FA464A8" w14:textId="77777777" w:rsidR="007652F3" w:rsidRPr="00AB655A" w:rsidRDefault="007652F3" w:rsidP="007652F3">
      <w:pPr>
        <w:pStyle w:val="ListParagraph"/>
        <w:rPr>
          <w:rFonts w:ascii="Tahoma" w:hAnsi="Tahoma" w:cs="Tahoma"/>
          <w:sz w:val="22"/>
          <w:szCs w:val="22"/>
          <w:lang w:val="en-US"/>
        </w:rPr>
      </w:pPr>
    </w:p>
    <w:p w14:paraId="4F31C0D8" w14:textId="180E2E33" w:rsidR="001939B2" w:rsidRPr="00AB655A" w:rsidRDefault="007652F3" w:rsidP="007C4A36">
      <w:pPr>
        <w:pStyle w:val="ListParagraph"/>
        <w:numPr>
          <w:ilvl w:val="0"/>
          <w:numId w:val="1"/>
        </w:numPr>
        <w:ind w:left="426" w:hanging="426"/>
        <w:jc w:val="both"/>
        <w:rPr>
          <w:rFonts w:ascii="Tahoma" w:hAnsi="Tahoma" w:cs="Tahoma"/>
          <w:sz w:val="22"/>
          <w:szCs w:val="22"/>
          <w:lang w:val="en-US"/>
        </w:rPr>
      </w:pPr>
      <w:r w:rsidRPr="00AB655A">
        <w:rPr>
          <w:rFonts w:ascii="Tahoma" w:hAnsi="Tahoma" w:cs="Tahoma"/>
          <w:sz w:val="22"/>
          <w:szCs w:val="22"/>
          <w:lang w:val="en-US"/>
        </w:rPr>
        <w:t>Ensure that all statistical data and processes on employment, inspection, labor relations, and other areas of the Ministry’s scope include a gender approach.</w:t>
      </w:r>
    </w:p>
    <w:p w14:paraId="1922F91E" w14:textId="77777777" w:rsidR="00686A42" w:rsidRPr="00AB655A" w:rsidRDefault="00686A42" w:rsidP="007C4A36">
      <w:pPr>
        <w:pStyle w:val="ListParagraph"/>
        <w:rPr>
          <w:rFonts w:ascii="Tahoma" w:hAnsi="Tahoma" w:cs="Tahoma"/>
          <w:sz w:val="22"/>
          <w:szCs w:val="22"/>
          <w:lang w:val="en-US"/>
        </w:rPr>
      </w:pPr>
    </w:p>
    <w:p w14:paraId="53CFDAF3" w14:textId="25B1E10D" w:rsidR="001E2DE9" w:rsidRPr="00AB655A" w:rsidRDefault="007652F3" w:rsidP="007C4A36">
      <w:pPr>
        <w:pStyle w:val="ListParagraph"/>
        <w:numPr>
          <w:ilvl w:val="0"/>
          <w:numId w:val="1"/>
        </w:numPr>
        <w:spacing w:line="288" w:lineRule="auto"/>
        <w:ind w:left="360"/>
        <w:jc w:val="both"/>
        <w:rPr>
          <w:rFonts w:ascii="Tahoma" w:hAnsi="Tahoma" w:cs="Tahoma"/>
          <w:sz w:val="22"/>
          <w:szCs w:val="22"/>
          <w:lang w:val="en-US"/>
        </w:rPr>
      </w:pPr>
      <w:r w:rsidRPr="00AB655A">
        <w:rPr>
          <w:rFonts w:ascii="Tahoma" w:hAnsi="Tahoma" w:cs="Tahoma"/>
          <w:sz w:val="22"/>
          <w:szCs w:val="22"/>
          <w:lang w:val="en-US"/>
        </w:rPr>
        <w:t>Execute and monitor the compliance of obligations acquired in international women’s rights agreements and conventions</w:t>
      </w:r>
      <w:r w:rsidR="00D142A3">
        <w:rPr>
          <w:rFonts w:ascii="Tahoma" w:hAnsi="Tahoma" w:cs="Tahoma"/>
          <w:sz w:val="22"/>
          <w:szCs w:val="22"/>
          <w:lang w:val="en-US"/>
        </w:rPr>
        <w:t>—including all types of exclusion and discrimination, such as race, ethnicity, sexual diversity, etc.—</w:t>
      </w:r>
      <w:r w:rsidRPr="00AB655A">
        <w:rPr>
          <w:rFonts w:ascii="Tahoma" w:hAnsi="Tahoma" w:cs="Tahoma"/>
          <w:sz w:val="22"/>
          <w:szCs w:val="22"/>
          <w:lang w:val="en-US"/>
        </w:rPr>
        <w:t xml:space="preserve">in the </w:t>
      </w:r>
      <w:r w:rsidR="00A43AC2">
        <w:rPr>
          <w:rFonts w:ascii="Tahoma" w:hAnsi="Tahoma" w:cs="Tahoma"/>
          <w:sz w:val="22"/>
          <w:szCs w:val="22"/>
          <w:lang w:val="en-US"/>
        </w:rPr>
        <w:t>labor sphere</w:t>
      </w:r>
      <w:r w:rsidRPr="00AB655A">
        <w:rPr>
          <w:rFonts w:ascii="Tahoma" w:hAnsi="Tahoma" w:cs="Tahoma"/>
          <w:sz w:val="22"/>
          <w:szCs w:val="22"/>
          <w:lang w:val="en-US"/>
        </w:rPr>
        <w:t xml:space="preserve">. </w:t>
      </w:r>
    </w:p>
    <w:p w14:paraId="680F91B0" w14:textId="77777777" w:rsidR="001E2DE9" w:rsidRPr="00AB655A" w:rsidRDefault="001E2DE9" w:rsidP="007C4A36">
      <w:pPr>
        <w:pStyle w:val="ListParagraph"/>
        <w:rPr>
          <w:rFonts w:ascii="Tahoma" w:hAnsi="Tahoma" w:cs="Tahoma"/>
          <w:sz w:val="22"/>
          <w:szCs w:val="22"/>
          <w:lang w:val="en-US"/>
        </w:rPr>
      </w:pPr>
    </w:p>
    <w:p w14:paraId="77722E03" w14:textId="295A6D9D" w:rsidR="00334168" w:rsidRPr="00AB655A" w:rsidRDefault="000E3544" w:rsidP="007C4A36">
      <w:pPr>
        <w:pStyle w:val="ListParagraph"/>
        <w:numPr>
          <w:ilvl w:val="0"/>
          <w:numId w:val="1"/>
        </w:numPr>
        <w:ind w:left="360"/>
        <w:jc w:val="both"/>
        <w:rPr>
          <w:rFonts w:ascii="Tahoma" w:hAnsi="Tahoma" w:cs="Tahoma"/>
          <w:sz w:val="22"/>
          <w:szCs w:val="22"/>
          <w:lang w:val="en-US"/>
        </w:rPr>
      </w:pPr>
      <w:r w:rsidRPr="00AB655A">
        <w:rPr>
          <w:rFonts w:ascii="Tahoma" w:hAnsi="Tahoma" w:cs="Tahoma"/>
          <w:sz w:val="22"/>
          <w:szCs w:val="22"/>
          <w:lang w:val="en-US"/>
        </w:rPr>
        <w:t>Promote efforts to enter into conventions and agreements to incorporate the gender approach in plans, programs, and projects related to work and employment.</w:t>
      </w:r>
    </w:p>
    <w:p w14:paraId="5665AC0A" w14:textId="77777777" w:rsidR="001939B2" w:rsidRPr="00AB655A" w:rsidRDefault="001939B2" w:rsidP="007C4A36">
      <w:pPr>
        <w:pStyle w:val="ListParagraph"/>
        <w:rPr>
          <w:rFonts w:ascii="Tahoma" w:hAnsi="Tahoma" w:cs="Tahoma"/>
          <w:sz w:val="22"/>
          <w:szCs w:val="22"/>
          <w:lang w:val="en-US"/>
        </w:rPr>
      </w:pPr>
    </w:p>
    <w:p w14:paraId="2D929210" w14:textId="5DC85FAE" w:rsidR="000E3544" w:rsidRPr="00AB655A" w:rsidRDefault="000E3544" w:rsidP="007C4A36">
      <w:pPr>
        <w:pStyle w:val="ListParagraph"/>
        <w:numPr>
          <w:ilvl w:val="0"/>
          <w:numId w:val="1"/>
        </w:numPr>
        <w:ind w:left="284"/>
        <w:jc w:val="both"/>
        <w:rPr>
          <w:rFonts w:ascii="Tahoma" w:hAnsi="Tahoma" w:cs="Tahoma"/>
          <w:sz w:val="22"/>
          <w:szCs w:val="22"/>
          <w:lang w:val="en-US"/>
        </w:rPr>
      </w:pPr>
      <w:r w:rsidRPr="00AB655A">
        <w:rPr>
          <w:rFonts w:ascii="Tahoma" w:hAnsi="Tahoma" w:cs="Tahoma"/>
          <w:sz w:val="22"/>
          <w:szCs w:val="22"/>
          <w:lang w:val="en-US"/>
        </w:rPr>
        <w:t xml:space="preserve">Work with the unit (Direction, Department, or another) in charge of budget planning to ensure that the Ministry budget is developed with a gender approach. Also, monitor the resources assigned to the institution for gender equality and that were included in the budget. </w:t>
      </w:r>
    </w:p>
    <w:p w14:paraId="3CE3348C" w14:textId="77777777" w:rsidR="008A204F" w:rsidRPr="00AB655A" w:rsidRDefault="008A204F" w:rsidP="007C4A36">
      <w:pPr>
        <w:pStyle w:val="ListParagraph"/>
        <w:rPr>
          <w:rFonts w:ascii="Tahoma" w:hAnsi="Tahoma" w:cs="Tahoma"/>
          <w:sz w:val="22"/>
          <w:szCs w:val="22"/>
          <w:lang w:val="en-US"/>
        </w:rPr>
      </w:pPr>
    </w:p>
    <w:p w14:paraId="6B0B7BA9" w14:textId="7DBDA43D" w:rsidR="000E3544" w:rsidRPr="00AB655A" w:rsidRDefault="000E3544" w:rsidP="007C4A36">
      <w:pPr>
        <w:pStyle w:val="ListParagraph"/>
        <w:numPr>
          <w:ilvl w:val="0"/>
          <w:numId w:val="1"/>
        </w:numPr>
        <w:spacing w:line="288" w:lineRule="auto"/>
        <w:ind w:left="360"/>
        <w:jc w:val="both"/>
        <w:rPr>
          <w:rFonts w:ascii="Tahoma" w:hAnsi="Tahoma" w:cs="Tahoma"/>
          <w:sz w:val="22"/>
          <w:szCs w:val="22"/>
          <w:lang w:val="en-US"/>
        </w:rPr>
      </w:pPr>
      <w:r w:rsidRPr="00AB655A">
        <w:rPr>
          <w:rFonts w:ascii="Tahoma" w:hAnsi="Tahoma" w:cs="Tahoma"/>
          <w:sz w:val="22"/>
          <w:szCs w:val="22"/>
          <w:lang w:val="en-US"/>
        </w:rPr>
        <w:t>Promote, disseminate, and share information regarding equality and non-discrimination in the labor sphere, ensuring that all institutional communication includes a gender approach</w:t>
      </w:r>
      <w:r w:rsidR="004871F8">
        <w:rPr>
          <w:rFonts w:ascii="Tahoma" w:hAnsi="Tahoma" w:cs="Tahoma"/>
          <w:sz w:val="22"/>
          <w:szCs w:val="22"/>
          <w:lang w:val="en-US"/>
        </w:rPr>
        <w:t xml:space="preserve"> and that it uses inclusive and non-sexist language</w:t>
      </w:r>
      <w:r w:rsidRPr="00AB655A">
        <w:rPr>
          <w:rFonts w:ascii="Tahoma" w:hAnsi="Tahoma" w:cs="Tahoma"/>
          <w:sz w:val="22"/>
          <w:szCs w:val="22"/>
          <w:lang w:val="en-US"/>
        </w:rPr>
        <w:t>.</w:t>
      </w:r>
    </w:p>
    <w:p w14:paraId="3294005A" w14:textId="77777777" w:rsidR="000E3544" w:rsidRPr="00AB655A" w:rsidRDefault="000E3544" w:rsidP="000E3544">
      <w:pPr>
        <w:pStyle w:val="ListParagraph"/>
        <w:rPr>
          <w:rFonts w:ascii="Tahoma" w:hAnsi="Tahoma" w:cs="Tahoma"/>
          <w:sz w:val="22"/>
          <w:szCs w:val="22"/>
          <w:lang w:val="en-US"/>
        </w:rPr>
      </w:pPr>
    </w:p>
    <w:p w14:paraId="450F599E" w14:textId="77777777" w:rsidR="001C60DD" w:rsidRDefault="000E3544" w:rsidP="007C4A36">
      <w:pPr>
        <w:pStyle w:val="ListParagraph"/>
        <w:numPr>
          <w:ilvl w:val="0"/>
          <w:numId w:val="1"/>
        </w:numPr>
        <w:spacing w:line="288" w:lineRule="auto"/>
        <w:ind w:left="360"/>
        <w:jc w:val="both"/>
        <w:rPr>
          <w:rFonts w:ascii="Tahoma" w:hAnsi="Tahoma" w:cs="Tahoma"/>
          <w:sz w:val="22"/>
          <w:szCs w:val="22"/>
          <w:lang w:val="en-US"/>
        </w:rPr>
      </w:pPr>
      <w:r w:rsidRPr="00AB655A">
        <w:rPr>
          <w:rFonts w:ascii="Tahoma" w:hAnsi="Tahoma" w:cs="Tahoma"/>
          <w:sz w:val="22"/>
          <w:szCs w:val="22"/>
          <w:lang w:val="en-US"/>
        </w:rPr>
        <w:t>Coordinate actions that the institution organizes on labor-related public policies with the National Mechanism for the Advancement of Women.</w:t>
      </w:r>
    </w:p>
    <w:p w14:paraId="5688F474" w14:textId="77777777" w:rsidR="001C60DD" w:rsidRPr="00C274E8" w:rsidRDefault="001C60DD" w:rsidP="00C274E8">
      <w:pPr>
        <w:pStyle w:val="ListParagraph"/>
        <w:rPr>
          <w:rFonts w:ascii="Tahoma" w:hAnsi="Tahoma" w:cs="Tahoma"/>
          <w:sz w:val="22"/>
          <w:szCs w:val="22"/>
          <w:lang w:val="en-US"/>
        </w:rPr>
      </w:pPr>
    </w:p>
    <w:p w14:paraId="4F212C7A" w14:textId="7BBBC39C" w:rsidR="00B613B1" w:rsidRPr="00AB655A" w:rsidRDefault="001C60DD" w:rsidP="007C4A36">
      <w:pPr>
        <w:pStyle w:val="ListParagraph"/>
        <w:numPr>
          <w:ilvl w:val="0"/>
          <w:numId w:val="1"/>
        </w:numPr>
        <w:spacing w:line="288" w:lineRule="auto"/>
        <w:ind w:left="360"/>
        <w:jc w:val="both"/>
        <w:rPr>
          <w:rFonts w:ascii="Tahoma" w:hAnsi="Tahoma" w:cs="Tahoma"/>
          <w:sz w:val="22"/>
          <w:szCs w:val="22"/>
          <w:lang w:val="en-US"/>
        </w:rPr>
      </w:pPr>
      <w:r>
        <w:rPr>
          <w:rFonts w:ascii="Tahoma" w:hAnsi="Tahoma" w:cs="Tahoma"/>
          <w:sz w:val="22"/>
          <w:szCs w:val="22"/>
          <w:lang w:val="en-US"/>
        </w:rPr>
        <w:t>Include the mainstreaming of gender and human rights into</w:t>
      </w:r>
      <w:r w:rsidR="00D54C5B">
        <w:rPr>
          <w:rFonts w:ascii="Tahoma" w:hAnsi="Tahoma" w:cs="Tahoma"/>
          <w:sz w:val="22"/>
          <w:szCs w:val="22"/>
          <w:lang w:val="en-US"/>
        </w:rPr>
        <w:t xml:space="preserve"> </w:t>
      </w:r>
      <w:r>
        <w:rPr>
          <w:rFonts w:ascii="Tahoma" w:hAnsi="Tahoma" w:cs="Tahoma"/>
          <w:sz w:val="22"/>
          <w:szCs w:val="22"/>
          <w:lang w:val="en-US"/>
        </w:rPr>
        <w:t>social dialogue.</w:t>
      </w:r>
      <w:r w:rsidR="000E3544" w:rsidRPr="00AB655A">
        <w:rPr>
          <w:rFonts w:ascii="Tahoma" w:hAnsi="Tahoma" w:cs="Tahoma"/>
          <w:sz w:val="22"/>
          <w:szCs w:val="22"/>
          <w:lang w:val="en-US"/>
        </w:rPr>
        <w:t xml:space="preserve"> </w:t>
      </w:r>
    </w:p>
    <w:p w14:paraId="56910C8B" w14:textId="5E7A9D20" w:rsidR="003C2434" w:rsidRPr="00AB655A" w:rsidRDefault="003C2434" w:rsidP="007C4A36">
      <w:pPr>
        <w:pStyle w:val="ListParagraph"/>
        <w:rPr>
          <w:rFonts w:ascii="Tahoma" w:hAnsi="Tahoma" w:cs="Tahoma"/>
          <w:sz w:val="22"/>
          <w:szCs w:val="22"/>
          <w:lang w:val="en-US"/>
        </w:rPr>
      </w:pPr>
    </w:p>
    <w:p w14:paraId="42CCFDAB" w14:textId="6283BB20" w:rsidR="00B613B1" w:rsidRPr="00AB655A" w:rsidRDefault="000E3544" w:rsidP="007C4A36">
      <w:pPr>
        <w:pStyle w:val="ListParagraph"/>
        <w:numPr>
          <w:ilvl w:val="0"/>
          <w:numId w:val="1"/>
        </w:numPr>
        <w:spacing w:line="288" w:lineRule="auto"/>
        <w:ind w:left="360"/>
        <w:jc w:val="both"/>
        <w:rPr>
          <w:rFonts w:ascii="Tahoma" w:hAnsi="Tahoma" w:cs="Tahoma"/>
          <w:sz w:val="22"/>
          <w:szCs w:val="22"/>
          <w:lang w:val="en-US"/>
        </w:rPr>
      </w:pPr>
      <w:r w:rsidRPr="00AB655A">
        <w:rPr>
          <w:rFonts w:ascii="Tahoma" w:hAnsi="Tahoma" w:cs="Tahoma"/>
          <w:sz w:val="22"/>
          <w:szCs w:val="22"/>
          <w:lang w:val="en-US"/>
        </w:rPr>
        <w:t>Lead and coordinate institutional gender diagnostics and their inclusion</w:t>
      </w:r>
      <w:r w:rsidR="006D4CD4" w:rsidRPr="00AB655A">
        <w:rPr>
          <w:rFonts w:ascii="Tahoma" w:hAnsi="Tahoma" w:cs="Tahoma"/>
          <w:sz w:val="22"/>
          <w:szCs w:val="22"/>
          <w:lang w:val="en-US"/>
        </w:rPr>
        <w:t xml:space="preserve"> in</w:t>
      </w:r>
      <w:r w:rsidRPr="00AB655A">
        <w:rPr>
          <w:rFonts w:ascii="Tahoma" w:hAnsi="Tahoma" w:cs="Tahoma"/>
          <w:sz w:val="22"/>
          <w:szCs w:val="22"/>
          <w:lang w:val="en-US"/>
        </w:rPr>
        <w:t xml:space="preserve"> the respective</w:t>
      </w:r>
      <w:r w:rsidR="001C60DD">
        <w:rPr>
          <w:rFonts w:ascii="Tahoma" w:hAnsi="Tahoma" w:cs="Tahoma"/>
          <w:sz w:val="22"/>
          <w:szCs w:val="22"/>
          <w:lang w:val="en-US"/>
        </w:rPr>
        <w:t xml:space="preserve"> national and</w:t>
      </w:r>
      <w:r w:rsidRPr="00AB655A">
        <w:rPr>
          <w:rFonts w:ascii="Tahoma" w:hAnsi="Tahoma" w:cs="Tahoma"/>
          <w:sz w:val="22"/>
          <w:szCs w:val="22"/>
          <w:lang w:val="en-US"/>
        </w:rPr>
        <w:t xml:space="preserve"> operational plans.</w:t>
      </w:r>
    </w:p>
    <w:p w14:paraId="0BDDA8DC" w14:textId="77777777" w:rsidR="00B82FFF" w:rsidRPr="00AB655A" w:rsidRDefault="00B82FFF" w:rsidP="007C4A36">
      <w:pPr>
        <w:pStyle w:val="ListParagraph"/>
        <w:rPr>
          <w:rFonts w:ascii="Tahoma" w:hAnsi="Tahoma" w:cs="Tahoma"/>
          <w:sz w:val="22"/>
          <w:szCs w:val="22"/>
          <w:lang w:val="en-US"/>
        </w:rPr>
      </w:pPr>
    </w:p>
    <w:p w14:paraId="0CC43C6D" w14:textId="275A0B2E" w:rsidR="00E66970" w:rsidRPr="00AB655A" w:rsidRDefault="000E3544" w:rsidP="007C4A36">
      <w:pPr>
        <w:pStyle w:val="ListParagraph"/>
        <w:numPr>
          <w:ilvl w:val="0"/>
          <w:numId w:val="1"/>
        </w:numPr>
        <w:spacing w:line="288" w:lineRule="auto"/>
        <w:ind w:left="426" w:hanging="426"/>
        <w:jc w:val="both"/>
        <w:rPr>
          <w:rFonts w:ascii="Tahoma" w:hAnsi="Tahoma" w:cs="Tahoma"/>
          <w:sz w:val="22"/>
          <w:szCs w:val="22"/>
          <w:lang w:val="en-US"/>
        </w:rPr>
      </w:pPr>
      <w:r w:rsidRPr="00AB655A">
        <w:rPr>
          <w:rFonts w:ascii="Tahoma" w:hAnsi="Tahoma" w:cs="Tahoma"/>
          <w:sz w:val="22"/>
          <w:szCs w:val="22"/>
          <w:lang w:val="en-US"/>
        </w:rPr>
        <w:t xml:space="preserve">Issue periodic evaluation reports </w:t>
      </w:r>
      <w:r w:rsidR="000D1BE5" w:rsidRPr="00AB655A">
        <w:rPr>
          <w:rFonts w:ascii="Tahoma" w:hAnsi="Tahoma" w:cs="Tahoma"/>
          <w:sz w:val="22"/>
          <w:szCs w:val="22"/>
          <w:lang w:val="en-US"/>
        </w:rPr>
        <w:t>that include results regarding compliance with objectives, strategies, and policies.</w:t>
      </w:r>
    </w:p>
    <w:p w14:paraId="27FD04EA" w14:textId="77777777" w:rsidR="00B82FFF" w:rsidRPr="00AB655A" w:rsidRDefault="00B82FFF" w:rsidP="007C4A36">
      <w:pPr>
        <w:pStyle w:val="ListParagraph"/>
        <w:rPr>
          <w:rFonts w:ascii="Tahoma" w:hAnsi="Tahoma" w:cs="Tahoma"/>
          <w:sz w:val="22"/>
          <w:szCs w:val="22"/>
          <w:lang w:val="en-US"/>
        </w:rPr>
      </w:pPr>
    </w:p>
    <w:p w14:paraId="0FB46795" w14:textId="77777777" w:rsidR="0027543D" w:rsidRPr="00AB655A" w:rsidRDefault="0027543D" w:rsidP="007C4A36">
      <w:pPr>
        <w:pStyle w:val="ListParagraph"/>
        <w:rPr>
          <w:rFonts w:ascii="Tahoma" w:hAnsi="Tahoma" w:cs="Tahoma"/>
          <w:sz w:val="22"/>
          <w:szCs w:val="22"/>
          <w:lang w:val="en-US"/>
        </w:rPr>
      </w:pPr>
    </w:p>
    <w:p w14:paraId="3FAA9F77" w14:textId="77777777" w:rsidR="0027543D" w:rsidRPr="00AB655A" w:rsidRDefault="0027543D" w:rsidP="007C4A36">
      <w:pPr>
        <w:pStyle w:val="ListParagraph"/>
        <w:spacing w:line="288" w:lineRule="auto"/>
        <w:ind w:left="360"/>
        <w:jc w:val="both"/>
        <w:rPr>
          <w:rFonts w:ascii="Tahoma" w:hAnsi="Tahoma" w:cs="Tahoma"/>
          <w:sz w:val="22"/>
          <w:szCs w:val="22"/>
          <w:lang w:val="en-US"/>
        </w:rPr>
      </w:pPr>
    </w:p>
    <w:p w14:paraId="04545A23" w14:textId="5AEC4BE7" w:rsidR="0027543D" w:rsidRPr="00AB655A" w:rsidRDefault="5A35F402" w:rsidP="00EB2D0E">
      <w:pPr>
        <w:pStyle w:val="Heading1"/>
        <w:numPr>
          <w:ilvl w:val="0"/>
          <w:numId w:val="3"/>
        </w:numPr>
        <w:rPr>
          <w:lang w:val="en-US"/>
        </w:rPr>
      </w:pPr>
      <w:r w:rsidRPr="2425A842">
        <w:rPr>
          <w:lang w:val="en-US"/>
        </w:rPr>
        <w:t>LINES OF ACTION</w:t>
      </w:r>
    </w:p>
    <w:p w14:paraId="16360F3B" w14:textId="77777777" w:rsidR="00EB5BA9" w:rsidRPr="00AB655A" w:rsidRDefault="00EB5BA9" w:rsidP="00513112">
      <w:pPr>
        <w:spacing w:line="288" w:lineRule="auto"/>
        <w:jc w:val="both"/>
        <w:rPr>
          <w:rFonts w:ascii="Tahoma" w:hAnsi="Tahoma" w:cs="Tahoma"/>
          <w:sz w:val="22"/>
          <w:szCs w:val="22"/>
          <w:lang w:val="en-US"/>
        </w:rPr>
      </w:pPr>
    </w:p>
    <w:p w14:paraId="19904FEC" w14:textId="7BC1A183" w:rsidR="000D1BE5" w:rsidRPr="00AB655A" w:rsidRDefault="5A35F402" w:rsidP="00513112">
      <w:pPr>
        <w:spacing w:line="288" w:lineRule="auto"/>
        <w:jc w:val="both"/>
        <w:rPr>
          <w:rFonts w:ascii="Tahoma" w:hAnsi="Tahoma" w:cs="Tahoma"/>
          <w:sz w:val="22"/>
          <w:szCs w:val="22"/>
          <w:lang w:val="en-US"/>
        </w:rPr>
      </w:pPr>
      <w:r w:rsidRPr="2425A842">
        <w:rPr>
          <w:rFonts w:ascii="Tahoma" w:hAnsi="Tahoma" w:cs="Tahoma"/>
          <w:sz w:val="22"/>
          <w:szCs w:val="22"/>
          <w:lang w:val="en-US"/>
        </w:rPr>
        <w:t>The lines of action are understood as strategies that guide and organize the different activities</w:t>
      </w:r>
      <w:r w:rsidR="118613B7" w:rsidRPr="2425A842">
        <w:rPr>
          <w:rFonts w:ascii="Tahoma" w:hAnsi="Tahoma" w:cs="Tahoma"/>
          <w:sz w:val="22"/>
          <w:szCs w:val="22"/>
          <w:lang w:val="en-US"/>
        </w:rPr>
        <w:t xml:space="preserve"> of the Specialized Gender Unit</w:t>
      </w:r>
      <w:r w:rsidR="00494A98">
        <w:rPr>
          <w:rFonts w:ascii="Tahoma" w:hAnsi="Tahoma" w:cs="Tahoma"/>
          <w:sz w:val="22"/>
          <w:szCs w:val="22"/>
          <w:lang w:val="en-US"/>
        </w:rPr>
        <w:t>,</w:t>
      </w:r>
      <w:r w:rsidRPr="2425A842">
        <w:rPr>
          <w:rFonts w:ascii="Tahoma" w:hAnsi="Tahoma" w:cs="Tahoma"/>
          <w:sz w:val="22"/>
          <w:szCs w:val="22"/>
          <w:lang w:val="en-US"/>
        </w:rPr>
        <w:t xml:space="preserve"> while ensuring the inclusion, coordination, and continuity of efforts in an orderly, coherent, and systematic manner.</w:t>
      </w:r>
    </w:p>
    <w:p w14:paraId="22FDB487" w14:textId="77777777" w:rsidR="003B749A" w:rsidRPr="00AB655A" w:rsidRDefault="003B749A" w:rsidP="002C3C47">
      <w:pPr>
        <w:pStyle w:val="ListParagraph"/>
        <w:spacing w:line="288" w:lineRule="auto"/>
        <w:ind w:left="1080"/>
        <w:jc w:val="both"/>
        <w:rPr>
          <w:rFonts w:ascii="Tahoma" w:hAnsi="Tahoma" w:cs="Tahoma"/>
          <w:sz w:val="22"/>
          <w:szCs w:val="22"/>
          <w:lang w:val="en-US"/>
        </w:rPr>
      </w:pPr>
    </w:p>
    <w:tbl>
      <w:tblPr>
        <w:tblStyle w:val="TableGrid"/>
        <w:tblW w:w="0" w:type="auto"/>
        <w:jc w:val="center"/>
        <w:tblLook w:val="04A0" w:firstRow="1" w:lastRow="0" w:firstColumn="1" w:lastColumn="0" w:noHBand="0" w:noVBand="1"/>
      </w:tblPr>
      <w:tblGrid>
        <w:gridCol w:w="8494"/>
      </w:tblGrid>
      <w:tr w:rsidR="002C3C47" w:rsidRPr="00ED097B" w14:paraId="4CAD91EE" w14:textId="77777777" w:rsidTr="007C4A36">
        <w:trPr>
          <w:jc w:val="center"/>
        </w:trPr>
        <w:tc>
          <w:tcPr>
            <w:tcW w:w="8494" w:type="dxa"/>
            <w:shd w:val="clear" w:color="auto" w:fill="BCE1E5" w:themeFill="accent2" w:themeFillTint="66"/>
          </w:tcPr>
          <w:p w14:paraId="175AC140" w14:textId="63CD9B30" w:rsidR="002C3C47" w:rsidRPr="00AB655A" w:rsidRDefault="000D1BE5" w:rsidP="002C3C47">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following Lines of Action are </w:t>
            </w:r>
            <w:r w:rsidR="00BD7402">
              <w:rPr>
                <w:rFonts w:ascii="Tahoma" w:hAnsi="Tahoma" w:cs="Tahoma"/>
                <w:sz w:val="22"/>
                <w:szCs w:val="22"/>
                <w:lang w:val="en-US"/>
              </w:rPr>
              <w:t>proposed</w:t>
            </w:r>
            <w:r w:rsidRPr="00AB655A">
              <w:rPr>
                <w:rFonts w:ascii="Tahoma" w:hAnsi="Tahoma" w:cs="Tahoma"/>
                <w:sz w:val="22"/>
                <w:szCs w:val="22"/>
                <w:lang w:val="en-US"/>
              </w:rPr>
              <w:t xml:space="preserve">: </w:t>
            </w:r>
          </w:p>
          <w:p w14:paraId="1468C109" w14:textId="66E256F7" w:rsidR="000D1BE5" w:rsidRPr="00AB655A" w:rsidRDefault="000D1BE5" w:rsidP="00B41E54">
            <w:pPr>
              <w:pStyle w:val="ListParagraph"/>
              <w:numPr>
                <w:ilvl w:val="0"/>
                <w:numId w:val="9"/>
              </w:numPr>
              <w:spacing w:line="288" w:lineRule="auto"/>
              <w:jc w:val="both"/>
              <w:rPr>
                <w:rFonts w:ascii="Tahoma" w:hAnsi="Tahoma" w:cs="Tahoma"/>
                <w:sz w:val="22"/>
                <w:szCs w:val="22"/>
                <w:lang w:val="en-US"/>
              </w:rPr>
            </w:pPr>
            <w:r w:rsidRPr="00AB655A">
              <w:rPr>
                <w:rFonts w:ascii="Tahoma" w:hAnsi="Tahoma" w:cs="Tahoma"/>
                <w:sz w:val="22"/>
                <w:szCs w:val="22"/>
                <w:lang w:val="en-US"/>
              </w:rPr>
              <w:t>Strengthen the institutionalization and mainstreaming of a gender approach in the institution.</w:t>
            </w:r>
          </w:p>
          <w:p w14:paraId="0FB466AE" w14:textId="4DFD0DE8" w:rsidR="002C3C47" w:rsidRPr="00AB655A" w:rsidRDefault="000D1BE5" w:rsidP="00B41E54">
            <w:pPr>
              <w:pStyle w:val="ListParagraph"/>
              <w:numPr>
                <w:ilvl w:val="0"/>
                <w:numId w:val="9"/>
              </w:numPr>
              <w:spacing w:line="288" w:lineRule="auto"/>
              <w:jc w:val="both"/>
              <w:rPr>
                <w:rFonts w:ascii="Tahoma" w:hAnsi="Tahoma" w:cs="Tahoma"/>
                <w:sz w:val="22"/>
                <w:szCs w:val="22"/>
                <w:lang w:val="en-US"/>
              </w:rPr>
            </w:pPr>
            <w:r w:rsidRPr="00AB655A">
              <w:rPr>
                <w:rFonts w:ascii="Tahoma" w:hAnsi="Tahoma" w:cs="Tahoma"/>
                <w:sz w:val="22"/>
                <w:szCs w:val="22"/>
                <w:lang w:val="en-US"/>
              </w:rPr>
              <w:lastRenderedPageBreak/>
              <w:t>Mainstream a gender approach in policies, programs, and projects.</w:t>
            </w:r>
          </w:p>
          <w:p w14:paraId="16D3DE0E" w14:textId="79686986" w:rsidR="002C3C47" w:rsidRPr="00AB655A" w:rsidRDefault="000D1BE5" w:rsidP="00B41E54">
            <w:pPr>
              <w:pStyle w:val="ListParagraph"/>
              <w:numPr>
                <w:ilvl w:val="0"/>
                <w:numId w:val="9"/>
              </w:numPr>
              <w:spacing w:line="288" w:lineRule="auto"/>
              <w:jc w:val="both"/>
              <w:rPr>
                <w:rFonts w:ascii="Tahoma" w:hAnsi="Tahoma" w:cs="Tahoma"/>
                <w:sz w:val="22"/>
                <w:szCs w:val="22"/>
                <w:lang w:val="en-US"/>
              </w:rPr>
            </w:pPr>
            <w:r w:rsidRPr="00AB655A">
              <w:rPr>
                <w:rFonts w:ascii="Tahoma" w:hAnsi="Tahoma" w:cs="Tahoma"/>
                <w:sz w:val="22"/>
                <w:szCs w:val="22"/>
                <w:lang w:val="en-US"/>
              </w:rPr>
              <w:t>Promote an institutional culture that aims for gender equality and equity.</w:t>
            </w:r>
          </w:p>
          <w:p w14:paraId="58FA8571" w14:textId="7FECD070" w:rsidR="002C3C47" w:rsidRPr="00AB655A" w:rsidRDefault="000D1BE5" w:rsidP="00B41E54">
            <w:pPr>
              <w:pStyle w:val="ListParagraph"/>
              <w:numPr>
                <w:ilvl w:val="0"/>
                <w:numId w:val="9"/>
              </w:numPr>
              <w:spacing w:line="288" w:lineRule="auto"/>
              <w:jc w:val="both"/>
              <w:rPr>
                <w:rFonts w:ascii="Tahoma" w:hAnsi="Tahoma" w:cs="Tahoma"/>
                <w:sz w:val="22"/>
                <w:szCs w:val="22"/>
                <w:lang w:val="en-US"/>
              </w:rPr>
            </w:pPr>
            <w:r w:rsidRPr="00AB655A">
              <w:rPr>
                <w:rFonts w:ascii="Tahoma" w:hAnsi="Tahoma" w:cs="Tahoma"/>
                <w:sz w:val="22"/>
                <w:szCs w:val="22"/>
                <w:lang w:val="en-US"/>
              </w:rPr>
              <w:t>Strengthen the skills of officials on gender to consolidate the inclusion of a gender approach in their daily work.</w:t>
            </w:r>
          </w:p>
          <w:p w14:paraId="55E85263" w14:textId="6813E8D7" w:rsidR="002C3C47" w:rsidRPr="00AB655A" w:rsidRDefault="000D1BE5" w:rsidP="000D1BE5">
            <w:pPr>
              <w:pStyle w:val="ListParagraph"/>
              <w:numPr>
                <w:ilvl w:val="0"/>
                <w:numId w:val="9"/>
              </w:numPr>
              <w:spacing w:line="288" w:lineRule="auto"/>
              <w:jc w:val="both"/>
              <w:rPr>
                <w:rFonts w:ascii="Tahoma" w:hAnsi="Tahoma" w:cs="Tahoma"/>
                <w:sz w:val="22"/>
                <w:szCs w:val="22"/>
                <w:lang w:val="en-US"/>
              </w:rPr>
            </w:pPr>
            <w:r w:rsidRPr="00AB655A">
              <w:rPr>
                <w:rFonts w:ascii="Tahoma" w:hAnsi="Tahoma" w:cs="Tahoma"/>
                <w:sz w:val="22"/>
                <w:szCs w:val="22"/>
                <w:lang w:val="en-US"/>
              </w:rPr>
              <w:t>Communication with a gender approach.</w:t>
            </w:r>
          </w:p>
        </w:tc>
      </w:tr>
    </w:tbl>
    <w:p w14:paraId="3812A2B5" w14:textId="77777777" w:rsidR="00747EA6" w:rsidRPr="00AB655A" w:rsidRDefault="00747EA6" w:rsidP="00FF2ED1">
      <w:pPr>
        <w:spacing w:line="288" w:lineRule="auto"/>
        <w:ind w:left="1080"/>
        <w:jc w:val="both"/>
        <w:rPr>
          <w:rFonts w:ascii="Tahoma" w:hAnsi="Tahoma" w:cs="Tahoma"/>
          <w:sz w:val="22"/>
          <w:szCs w:val="22"/>
          <w:lang w:val="en-US"/>
        </w:rPr>
      </w:pPr>
    </w:p>
    <w:p w14:paraId="210FD5B0" w14:textId="4200C151" w:rsidR="00FF2ED1" w:rsidRPr="00AB655A" w:rsidRDefault="00581549" w:rsidP="003B749A">
      <w:pPr>
        <w:pStyle w:val="Heading2"/>
        <w:pBdr>
          <w:top w:val="single" w:sz="4" w:space="0" w:color="auto"/>
          <w:left w:val="single" w:sz="4" w:space="0" w:color="auto"/>
          <w:bottom w:val="single" w:sz="4" w:space="0" w:color="auto"/>
          <w:right w:val="single" w:sz="4" w:space="0" w:color="auto"/>
          <w:between w:val="single" w:sz="4" w:space="0" w:color="auto"/>
          <w:bar w:val="single" w:sz="4" w:color="auto"/>
        </w:pBdr>
        <w:rPr>
          <w:lang w:val="en-US"/>
        </w:rPr>
      </w:pPr>
      <w:r w:rsidRPr="00AB655A">
        <w:rPr>
          <w:lang w:val="en-US"/>
        </w:rPr>
        <w:t>LINE OF ACTION 1: STRENGTHEN THE INSTITUTIONalization and mainstreaming of a gender approach in the institution</w:t>
      </w:r>
    </w:p>
    <w:p w14:paraId="4980C1C2" w14:textId="77777777" w:rsidR="00417D64" w:rsidRPr="00AB655A" w:rsidRDefault="00417D64" w:rsidP="00417D64">
      <w:pPr>
        <w:spacing w:before="0" w:after="0" w:line="288" w:lineRule="auto"/>
        <w:jc w:val="both"/>
        <w:rPr>
          <w:rFonts w:ascii="Tahoma" w:hAnsi="Tahoma" w:cs="Tahoma"/>
          <w:sz w:val="22"/>
          <w:szCs w:val="22"/>
          <w:lang w:val="en-US"/>
        </w:rPr>
      </w:pPr>
    </w:p>
    <w:p w14:paraId="50D226E8" w14:textId="57503835" w:rsidR="00564199" w:rsidRPr="00AB655A" w:rsidRDefault="00564199" w:rsidP="00FF2ED1">
      <w:pPr>
        <w:spacing w:line="288" w:lineRule="auto"/>
        <w:jc w:val="both"/>
        <w:rPr>
          <w:rFonts w:ascii="Tahoma" w:hAnsi="Tahoma" w:cs="Tahoma"/>
          <w:sz w:val="22"/>
          <w:szCs w:val="22"/>
          <w:lang w:val="en-US"/>
        </w:rPr>
      </w:pPr>
      <w:r w:rsidRPr="00AB655A">
        <w:rPr>
          <w:rFonts w:ascii="Tahoma" w:hAnsi="Tahoma" w:cs="Tahoma"/>
          <w:sz w:val="22"/>
          <w:szCs w:val="22"/>
          <w:lang w:val="en-US"/>
        </w:rPr>
        <w:t>The institutionalization of a gender approach refers to the organization’s objectives and activities, as well as to the set of formal and informal rules and their mechanisms of execution. Therefore, it implies including actions related to decreasing the identified inequalities as a common and institutionalized trend with a cross-cutting and intersectoral characteristic that extends to the entire organizational structure. This includes the planning, administrative, and financial units.</w:t>
      </w:r>
    </w:p>
    <w:p w14:paraId="5AB51FCB" w14:textId="55A4F108" w:rsidR="00FF2ED1" w:rsidRPr="00AB655A" w:rsidRDefault="00564199" w:rsidP="00FF2ED1">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Genuine institutionalization—understood as the first step to incorporate a gender approach—is an effort that institutional authorities must commit to. As such, they must envision the </w:t>
      </w:r>
      <w:r w:rsidR="00687FDD" w:rsidRPr="00AB655A">
        <w:rPr>
          <w:rFonts w:ascii="Tahoma" w:hAnsi="Tahoma" w:cs="Tahoma"/>
          <w:sz w:val="22"/>
          <w:szCs w:val="22"/>
          <w:lang w:val="en-US"/>
        </w:rPr>
        <w:t>integration</w:t>
      </w:r>
      <w:r w:rsidRPr="00AB655A">
        <w:rPr>
          <w:rFonts w:ascii="Tahoma" w:hAnsi="Tahoma" w:cs="Tahoma"/>
          <w:sz w:val="22"/>
          <w:szCs w:val="22"/>
          <w:lang w:val="en-US"/>
        </w:rPr>
        <w:t xml:space="preserve"> of this approach into policies, programs, and projects, and in the organizational culture, </w:t>
      </w:r>
      <w:r w:rsidR="00687FDD" w:rsidRPr="00AB655A">
        <w:rPr>
          <w:rFonts w:ascii="Tahoma" w:hAnsi="Tahoma" w:cs="Tahoma"/>
          <w:sz w:val="22"/>
          <w:szCs w:val="22"/>
          <w:lang w:val="en-US"/>
        </w:rPr>
        <w:t>as an efficient and effective mechanism to advance toward equal opportunities and its inclusion within the organization’s internal and external actions.</w:t>
      </w:r>
    </w:p>
    <w:p w14:paraId="0866F939" w14:textId="4E5E1919" w:rsidR="00417D64" w:rsidRPr="00AB655A" w:rsidRDefault="2F674C68" w:rsidP="00FB4380">
      <w:pPr>
        <w:spacing w:line="288" w:lineRule="auto"/>
        <w:jc w:val="both"/>
        <w:rPr>
          <w:rFonts w:ascii="Tahoma" w:hAnsi="Tahoma" w:cs="Tahoma"/>
          <w:sz w:val="22"/>
          <w:szCs w:val="22"/>
          <w:lang w:val="en-US"/>
        </w:rPr>
      </w:pPr>
      <w:r w:rsidRPr="2425A842">
        <w:rPr>
          <w:rFonts w:ascii="Tahoma" w:hAnsi="Tahoma" w:cs="Tahoma"/>
          <w:sz w:val="22"/>
          <w:szCs w:val="22"/>
          <w:lang w:val="en-US"/>
        </w:rPr>
        <w:t>Institutionalization is a</w:t>
      </w:r>
      <w:r w:rsidR="2CFB3FF5" w:rsidRPr="2425A842">
        <w:rPr>
          <w:rFonts w:ascii="Tahoma" w:hAnsi="Tahoma" w:cs="Tahoma"/>
          <w:sz w:val="22"/>
          <w:szCs w:val="22"/>
          <w:lang w:val="en-US"/>
        </w:rPr>
        <w:t xml:space="preserve"> prerequisite</w:t>
      </w:r>
      <w:r w:rsidRPr="2425A842">
        <w:rPr>
          <w:rFonts w:ascii="Tahoma" w:hAnsi="Tahoma" w:cs="Tahoma"/>
          <w:sz w:val="22"/>
          <w:szCs w:val="22"/>
          <w:lang w:val="en-US"/>
        </w:rPr>
        <w:t xml:space="preserve"> </w:t>
      </w:r>
      <w:r w:rsidR="2CFB3FF5" w:rsidRPr="2425A842">
        <w:rPr>
          <w:rFonts w:ascii="Tahoma" w:hAnsi="Tahoma" w:cs="Tahoma"/>
          <w:sz w:val="22"/>
          <w:szCs w:val="22"/>
          <w:lang w:val="en-US"/>
        </w:rPr>
        <w:t>to achiev</w:t>
      </w:r>
      <w:r w:rsidR="2CFB3FF5" w:rsidRPr="2425A842">
        <w:rPr>
          <w:rFonts w:ascii="Tahoma" w:hAnsi="Tahoma" w:cs="Tahoma"/>
          <w:sz w:val="22"/>
          <w:szCs w:val="22"/>
          <w:lang w:val="en-US"/>
        </w:rPr>
        <w:t>ing</w:t>
      </w:r>
      <w:r w:rsidRPr="2425A842">
        <w:rPr>
          <w:rFonts w:ascii="Tahoma" w:hAnsi="Tahoma" w:cs="Tahoma"/>
          <w:sz w:val="22"/>
          <w:szCs w:val="22"/>
          <w:lang w:val="en-US"/>
        </w:rPr>
        <w:t xml:space="preserve"> </w:t>
      </w:r>
      <w:r w:rsidR="2CFB3FF5" w:rsidRPr="2425A842">
        <w:rPr>
          <w:rFonts w:ascii="Tahoma" w:hAnsi="Tahoma" w:cs="Tahoma"/>
          <w:sz w:val="22"/>
          <w:szCs w:val="22"/>
          <w:lang w:val="en-US"/>
        </w:rPr>
        <w:t xml:space="preserve">gender </w:t>
      </w:r>
      <w:r w:rsidRPr="2425A842">
        <w:rPr>
          <w:rFonts w:ascii="Tahoma" w:hAnsi="Tahoma" w:cs="Tahoma"/>
          <w:sz w:val="22"/>
          <w:szCs w:val="22"/>
          <w:lang w:val="en-US"/>
        </w:rPr>
        <w:t>mainstream</w:t>
      </w:r>
      <w:r w:rsidR="2CFB3FF5" w:rsidRPr="2425A842">
        <w:rPr>
          <w:rFonts w:ascii="Tahoma" w:hAnsi="Tahoma" w:cs="Tahoma"/>
          <w:sz w:val="22"/>
          <w:szCs w:val="22"/>
          <w:lang w:val="en-US"/>
        </w:rPr>
        <w:t>ing</w:t>
      </w:r>
      <w:r w:rsidRPr="2425A842">
        <w:rPr>
          <w:rFonts w:ascii="Tahoma" w:hAnsi="Tahoma" w:cs="Tahoma"/>
          <w:sz w:val="22"/>
          <w:szCs w:val="22"/>
          <w:lang w:val="en-US"/>
        </w:rPr>
        <w:t xml:space="preserve"> in </w:t>
      </w:r>
      <w:proofErr w:type="gramStart"/>
      <w:r w:rsidRPr="2425A842">
        <w:rPr>
          <w:rFonts w:ascii="Tahoma" w:hAnsi="Tahoma" w:cs="Tahoma"/>
          <w:sz w:val="22"/>
          <w:szCs w:val="22"/>
          <w:lang w:val="en-US"/>
        </w:rPr>
        <w:t>all of</w:t>
      </w:r>
      <w:proofErr w:type="gramEnd"/>
      <w:r w:rsidRPr="2425A842">
        <w:rPr>
          <w:rFonts w:ascii="Tahoma" w:hAnsi="Tahoma" w:cs="Tahoma"/>
          <w:sz w:val="22"/>
          <w:szCs w:val="22"/>
          <w:lang w:val="en-US"/>
        </w:rPr>
        <w:t xml:space="preserve"> the institution’s structures. This is true because gender content is mainstreamed when the institutional structure is </w:t>
      </w:r>
      <w:proofErr w:type="gramStart"/>
      <w:r w:rsidRPr="2425A842">
        <w:rPr>
          <w:rFonts w:ascii="Tahoma" w:hAnsi="Tahoma" w:cs="Tahoma"/>
          <w:sz w:val="22"/>
          <w:szCs w:val="22"/>
          <w:lang w:val="en-US"/>
        </w:rPr>
        <w:t>suitable</w:t>
      </w:r>
      <w:proofErr w:type="gramEnd"/>
      <w:r w:rsidRPr="2425A842">
        <w:rPr>
          <w:rFonts w:ascii="Tahoma" w:hAnsi="Tahoma" w:cs="Tahoma"/>
          <w:sz w:val="22"/>
          <w:szCs w:val="22"/>
          <w:lang w:val="en-US"/>
        </w:rPr>
        <w:t xml:space="preserve"> and it becomes a </w:t>
      </w:r>
      <w:r w:rsidR="2CFB3FF5" w:rsidRPr="2425A842">
        <w:rPr>
          <w:rFonts w:ascii="Tahoma" w:hAnsi="Tahoma" w:cs="Tahoma"/>
          <w:sz w:val="22"/>
          <w:szCs w:val="22"/>
          <w:lang w:val="en-US"/>
        </w:rPr>
        <w:t xml:space="preserve">common </w:t>
      </w:r>
      <w:r w:rsidRPr="2425A842">
        <w:rPr>
          <w:rFonts w:ascii="Tahoma" w:hAnsi="Tahoma" w:cs="Tahoma"/>
          <w:sz w:val="22"/>
          <w:szCs w:val="22"/>
          <w:lang w:val="en-US"/>
        </w:rPr>
        <w:t xml:space="preserve">practice. This, in turn, strengthens the </w:t>
      </w:r>
      <w:r w:rsidR="2CFB3FF5" w:rsidRPr="2425A842">
        <w:rPr>
          <w:rFonts w:ascii="Tahoma" w:hAnsi="Tahoma" w:cs="Tahoma"/>
          <w:sz w:val="22"/>
          <w:szCs w:val="22"/>
          <w:lang w:val="en-US"/>
        </w:rPr>
        <w:t>institutions that were created.</w:t>
      </w:r>
    </w:p>
    <w:p w14:paraId="4F932BC7" w14:textId="77777777" w:rsidR="00FF2ED1" w:rsidRPr="00AB655A" w:rsidRDefault="00FF2ED1" w:rsidP="00FF2ED1">
      <w:pPr>
        <w:spacing w:line="288" w:lineRule="auto"/>
        <w:ind w:left="1080"/>
        <w:jc w:val="both"/>
        <w:rPr>
          <w:rFonts w:ascii="Tahoma" w:hAnsi="Tahoma" w:cs="Tahoma"/>
          <w:sz w:val="22"/>
          <w:szCs w:val="22"/>
          <w:lang w:val="en-US"/>
        </w:rPr>
      </w:pPr>
    </w:p>
    <w:p w14:paraId="7E51E7E2" w14:textId="5796D3C8" w:rsidR="00FF2ED1" w:rsidRPr="00AB655A" w:rsidRDefault="2F674C68" w:rsidP="003B749A">
      <w:pPr>
        <w:pStyle w:val="Heading2"/>
        <w:pBdr>
          <w:top w:val="single" w:sz="4" w:space="0" w:color="auto"/>
          <w:left w:val="single" w:sz="4" w:space="0" w:color="auto"/>
          <w:bottom w:val="single" w:sz="4" w:space="0" w:color="auto"/>
          <w:right w:val="single" w:sz="4" w:space="0" w:color="auto"/>
          <w:between w:val="single" w:sz="4" w:space="0" w:color="auto"/>
          <w:bar w:val="single" w:sz="4" w:color="auto"/>
        </w:pBdr>
        <w:rPr>
          <w:lang w:val="en-US"/>
        </w:rPr>
      </w:pPr>
      <w:r w:rsidRPr="2425A842">
        <w:rPr>
          <w:lang w:val="en-US"/>
        </w:rPr>
        <w:t>LINE OF ACTION 2: Mainstream a gender approach in p</w:t>
      </w:r>
      <w:r w:rsidR="31B0D835" w:rsidRPr="2425A842">
        <w:rPr>
          <w:lang w:val="en-US"/>
        </w:rPr>
        <w:t>olicies, programs, and projects</w:t>
      </w:r>
    </w:p>
    <w:p w14:paraId="12D33C08" w14:textId="77777777" w:rsidR="00417D64" w:rsidRPr="00AB655A" w:rsidRDefault="00417D64" w:rsidP="00417D64">
      <w:pPr>
        <w:spacing w:before="0" w:after="0" w:line="288" w:lineRule="auto"/>
        <w:jc w:val="both"/>
        <w:rPr>
          <w:rFonts w:ascii="Tahoma" w:hAnsi="Tahoma" w:cs="Tahoma"/>
          <w:sz w:val="22"/>
          <w:szCs w:val="22"/>
          <w:lang w:val="en-US"/>
        </w:rPr>
      </w:pPr>
    </w:p>
    <w:p w14:paraId="2AE3211C" w14:textId="1D8E6AFA" w:rsidR="00875EA5" w:rsidRPr="00AB655A" w:rsidRDefault="00875EA5" w:rsidP="00FF2ED1">
      <w:pPr>
        <w:spacing w:line="288" w:lineRule="auto"/>
        <w:jc w:val="both"/>
        <w:rPr>
          <w:rFonts w:ascii="Tahoma" w:hAnsi="Tahoma" w:cs="Tahoma"/>
          <w:sz w:val="22"/>
          <w:szCs w:val="22"/>
          <w:lang w:val="en-US"/>
        </w:rPr>
      </w:pPr>
      <w:r w:rsidRPr="00AB655A">
        <w:rPr>
          <w:rFonts w:ascii="Tahoma" w:hAnsi="Tahoma" w:cs="Tahoma"/>
          <w:sz w:val="22"/>
          <w:szCs w:val="22"/>
          <w:lang w:val="en-US"/>
        </w:rPr>
        <w:t>One of the objectives of mainstreaming is to integrate issues related to gender equality in every policy, program, and project of the institution. It is evident when the interests, concerns, and experiences of women and men—in all their diversity—</w:t>
      </w:r>
      <w:r w:rsidR="00316893" w:rsidRPr="00AB655A">
        <w:rPr>
          <w:rFonts w:ascii="Tahoma" w:hAnsi="Tahoma" w:cs="Tahoma"/>
          <w:sz w:val="22"/>
          <w:szCs w:val="22"/>
          <w:lang w:val="en-US"/>
        </w:rPr>
        <w:t xml:space="preserve">become an integral part of the design, implementation, monitoring, and evaluation of policies and programs, to the extent that they move forward in eliminating inequalities. </w:t>
      </w:r>
    </w:p>
    <w:p w14:paraId="7BAAB476" w14:textId="5047972B" w:rsidR="00316893" w:rsidRPr="00AB655A" w:rsidRDefault="1E1A1088" w:rsidP="00FF2ED1">
      <w:pPr>
        <w:spacing w:line="288" w:lineRule="auto"/>
        <w:jc w:val="both"/>
        <w:rPr>
          <w:rFonts w:ascii="Tahoma" w:hAnsi="Tahoma" w:cs="Tahoma"/>
          <w:sz w:val="22"/>
          <w:szCs w:val="22"/>
          <w:lang w:val="en-US"/>
        </w:rPr>
      </w:pPr>
      <w:r w:rsidRPr="2425A842">
        <w:rPr>
          <w:rFonts w:ascii="Tahoma" w:hAnsi="Tahoma" w:cs="Tahoma"/>
          <w:sz w:val="22"/>
          <w:szCs w:val="22"/>
          <w:lang w:val="en-US"/>
        </w:rPr>
        <w:t>Th</w:t>
      </w:r>
      <w:r w:rsidR="18C2E2FF" w:rsidRPr="2425A842">
        <w:rPr>
          <w:rFonts w:ascii="Tahoma" w:hAnsi="Tahoma" w:cs="Tahoma"/>
          <w:sz w:val="22"/>
          <w:szCs w:val="22"/>
          <w:lang w:val="en-US"/>
        </w:rPr>
        <w:t>is line</w:t>
      </w:r>
      <w:r w:rsidRPr="2425A842">
        <w:rPr>
          <w:rFonts w:ascii="Tahoma" w:hAnsi="Tahoma" w:cs="Tahoma"/>
          <w:sz w:val="22"/>
          <w:szCs w:val="22"/>
          <w:lang w:val="en-US"/>
        </w:rPr>
        <w:t xml:space="preserve"> of action should be exte</w:t>
      </w:r>
      <w:r w:rsidR="18C2E2FF" w:rsidRPr="2425A842">
        <w:rPr>
          <w:rFonts w:ascii="Tahoma" w:hAnsi="Tahoma" w:cs="Tahoma"/>
          <w:sz w:val="22"/>
          <w:szCs w:val="22"/>
          <w:lang w:val="en-US"/>
        </w:rPr>
        <w:t>nded to all Ministry actions. It</w:t>
      </w:r>
      <w:r w:rsidRPr="2425A842">
        <w:rPr>
          <w:rFonts w:ascii="Tahoma" w:hAnsi="Tahoma" w:cs="Tahoma"/>
          <w:sz w:val="22"/>
          <w:szCs w:val="22"/>
          <w:lang w:val="en-US"/>
        </w:rPr>
        <w:t xml:space="preserve"> correspond</w:t>
      </w:r>
      <w:r w:rsidR="18C2E2FF" w:rsidRPr="2425A842">
        <w:rPr>
          <w:rFonts w:ascii="Tahoma" w:hAnsi="Tahoma" w:cs="Tahoma"/>
          <w:sz w:val="22"/>
          <w:szCs w:val="22"/>
          <w:lang w:val="en-US"/>
        </w:rPr>
        <w:t>s</w:t>
      </w:r>
      <w:r w:rsidRPr="2425A842">
        <w:rPr>
          <w:rFonts w:ascii="Tahoma" w:hAnsi="Tahoma" w:cs="Tahoma"/>
          <w:sz w:val="22"/>
          <w:szCs w:val="22"/>
          <w:lang w:val="en-US"/>
        </w:rPr>
        <w:t xml:space="preserve"> to the work </w:t>
      </w:r>
      <w:r w:rsidRPr="2425A842">
        <w:rPr>
          <w:rFonts w:ascii="Tahoma" w:hAnsi="Tahoma" w:cs="Tahoma"/>
          <w:sz w:val="22"/>
          <w:szCs w:val="22"/>
          <w:lang w:val="en-US"/>
        </w:rPr>
        <w:t>directed at</w:t>
      </w:r>
      <w:r w:rsidRPr="2425A842">
        <w:rPr>
          <w:rFonts w:ascii="Tahoma" w:hAnsi="Tahoma" w:cs="Tahoma"/>
          <w:sz w:val="22"/>
          <w:szCs w:val="22"/>
          <w:lang w:val="en-US"/>
        </w:rPr>
        <w:t xml:space="preserve"> t</w:t>
      </w:r>
      <w:r w:rsidR="18C2E2FF" w:rsidRPr="2425A842">
        <w:rPr>
          <w:rFonts w:ascii="Tahoma" w:hAnsi="Tahoma" w:cs="Tahoma"/>
          <w:sz w:val="22"/>
          <w:szCs w:val="22"/>
          <w:lang w:val="en-US"/>
        </w:rPr>
        <w:t xml:space="preserve">he public in </w:t>
      </w:r>
      <w:proofErr w:type="gramStart"/>
      <w:r w:rsidR="18C2E2FF" w:rsidRPr="2425A842">
        <w:rPr>
          <w:rFonts w:ascii="Tahoma" w:hAnsi="Tahoma" w:cs="Tahoma"/>
          <w:sz w:val="22"/>
          <w:szCs w:val="22"/>
          <w:lang w:val="en-US"/>
        </w:rPr>
        <w:t>general, and</w:t>
      </w:r>
      <w:proofErr w:type="gramEnd"/>
      <w:r w:rsidR="18C2E2FF" w:rsidRPr="2425A842">
        <w:rPr>
          <w:rFonts w:ascii="Tahoma" w:hAnsi="Tahoma" w:cs="Tahoma"/>
          <w:sz w:val="22"/>
          <w:szCs w:val="22"/>
          <w:lang w:val="en-US"/>
        </w:rPr>
        <w:t xml:space="preserve"> refers</w:t>
      </w:r>
      <w:r w:rsidRPr="2425A842">
        <w:rPr>
          <w:rFonts w:ascii="Tahoma" w:hAnsi="Tahoma" w:cs="Tahoma"/>
          <w:sz w:val="22"/>
          <w:szCs w:val="22"/>
          <w:lang w:val="en-US"/>
        </w:rPr>
        <w:t xml:space="preserve"> to the actions that target the population. Consequently, generating and using data disaggregated by sex, and the inclusion of a gender analysis in every stage of the development of policies, </w:t>
      </w:r>
      <w:proofErr w:type="gramStart"/>
      <w:r w:rsidRPr="2425A842">
        <w:rPr>
          <w:rFonts w:ascii="Tahoma" w:hAnsi="Tahoma" w:cs="Tahoma"/>
          <w:sz w:val="22"/>
          <w:szCs w:val="22"/>
          <w:lang w:val="en-US"/>
        </w:rPr>
        <w:t>programs</w:t>
      </w:r>
      <w:proofErr w:type="gramEnd"/>
      <w:r w:rsidRPr="2425A842">
        <w:rPr>
          <w:rFonts w:ascii="Tahoma" w:hAnsi="Tahoma" w:cs="Tahoma"/>
          <w:sz w:val="22"/>
          <w:szCs w:val="22"/>
          <w:lang w:val="en-US"/>
        </w:rPr>
        <w:t xml:space="preserve"> and projects, </w:t>
      </w:r>
      <w:r w:rsidRPr="2425A842">
        <w:rPr>
          <w:rFonts w:ascii="Tahoma" w:hAnsi="Tahoma" w:cs="Tahoma"/>
          <w:sz w:val="22"/>
          <w:szCs w:val="22"/>
          <w:lang w:val="en-US"/>
        </w:rPr>
        <w:lastRenderedPageBreak/>
        <w:t>are key to obtaining diagnostics that consider gender gaps and move forward in achieving equality and equity in the labor sphere.</w:t>
      </w:r>
    </w:p>
    <w:p w14:paraId="73133969" w14:textId="32EFF81A" w:rsidR="00884A6B" w:rsidRPr="00AB655A" w:rsidRDefault="00316893" w:rsidP="00FF2ED1">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This Line of </w:t>
      </w:r>
      <w:r w:rsidR="006D4CD4" w:rsidRPr="00AB655A">
        <w:rPr>
          <w:rFonts w:ascii="Tahoma" w:hAnsi="Tahoma" w:cs="Tahoma"/>
          <w:sz w:val="22"/>
          <w:szCs w:val="22"/>
          <w:lang w:val="en-US"/>
        </w:rPr>
        <w:t>A</w:t>
      </w:r>
      <w:r w:rsidRPr="00AB655A">
        <w:rPr>
          <w:rFonts w:ascii="Tahoma" w:hAnsi="Tahoma" w:cs="Tahoma"/>
          <w:sz w:val="22"/>
          <w:szCs w:val="22"/>
          <w:lang w:val="en-US"/>
        </w:rPr>
        <w:t>ction will be the result of the intersection of other lines of action.</w:t>
      </w:r>
    </w:p>
    <w:p w14:paraId="7B0A4958" w14:textId="77777777" w:rsidR="007C4A36" w:rsidRPr="00AB655A" w:rsidRDefault="007C4A36" w:rsidP="00FF2ED1">
      <w:pPr>
        <w:spacing w:line="288" w:lineRule="auto"/>
        <w:jc w:val="both"/>
        <w:rPr>
          <w:rFonts w:ascii="Tahoma" w:hAnsi="Tahoma" w:cs="Tahoma"/>
          <w:sz w:val="22"/>
          <w:szCs w:val="22"/>
          <w:lang w:val="en-US"/>
        </w:rPr>
      </w:pPr>
    </w:p>
    <w:p w14:paraId="45070E10" w14:textId="56918F10" w:rsidR="00334168" w:rsidRPr="00AB655A" w:rsidRDefault="00316893" w:rsidP="003B749A">
      <w:pPr>
        <w:pStyle w:val="Heading2"/>
        <w:pBdr>
          <w:top w:val="single" w:sz="4" w:space="0" w:color="auto"/>
          <w:left w:val="single" w:sz="4" w:space="0" w:color="auto"/>
          <w:bottom w:val="single" w:sz="4" w:space="0" w:color="auto"/>
          <w:right w:val="single" w:sz="4" w:space="0" w:color="auto"/>
          <w:between w:val="single" w:sz="4" w:space="0" w:color="auto"/>
          <w:bar w:val="single" w:sz="4" w:color="auto"/>
        </w:pBdr>
        <w:rPr>
          <w:lang w:val="en-US"/>
        </w:rPr>
      </w:pPr>
      <w:r w:rsidRPr="00AB655A">
        <w:rPr>
          <w:lang w:val="en-US"/>
        </w:rPr>
        <w:t>LINE OF ACTION 3: Promote an institutional culture that aims</w:t>
      </w:r>
      <w:r w:rsidR="00FB4380" w:rsidRPr="00AB655A">
        <w:rPr>
          <w:lang w:val="en-US"/>
        </w:rPr>
        <w:t xml:space="preserve"> for gender equality and equity</w:t>
      </w:r>
    </w:p>
    <w:p w14:paraId="04B9B0C9" w14:textId="77777777" w:rsidR="00417D64" w:rsidRPr="00AB655A" w:rsidRDefault="00417D64" w:rsidP="00417D64">
      <w:pPr>
        <w:spacing w:before="0" w:after="0" w:line="288" w:lineRule="auto"/>
        <w:jc w:val="both"/>
        <w:rPr>
          <w:rFonts w:ascii="Tahoma" w:hAnsi="Tahoma" w:cs="Tahoma"/>
          <w:sz w:val="22"/>
          <w:szCs w:val="22"/>
          <w:lang w:val="en-US"/>
        </w:rPr>
      </w:pPr>
    </w:p>
    <w:p w14:paraId="356C57AE" w14:textId="0D4D07E0" w:rsidR="00316893" w:rsidRPr="00AB655A" w:rsidRDefault="009A5CDE" w:rsidP="00173AFA">
      <w:pPr>
        <w:spacing w:line="288" w:lineRule="auto"/>
        <w:jc w:val="both"/>
        <w:rPr>
          <w:rFonts w:ascii="Tahoma" w:hAnsi="Tahoma" w:cs="Tahoma"/>
          <w:sz w:val="22"/>
          <w:szCs w:val="22"/>
          <w:lang w:val="en-US"/>
        </w:rPr>
      </w:pPr>
      <w:r w:rsidRPr="00AB655A">
        <w:rPr>
          <w:rFonts w:ascii="Tahoma" w:hAnsi="Tahoma" w:cs="Tahoma"/>
          <w:sz w:val="22"/>
          <w:szCs w:val="22"/>
          <w:lang w:val="en-US"/>
        </w:rPr>
        <w:t>Gender inequalities are manifested as the unequal access and control over resources, understood as the goods or services available to people. These resources include access to information and to economic and financial resources; decision-making processes; the knowledge and use of technology; protection in the face of violence and harassment; access to social media;</w:t>
      </w:r>
      <w:r w:rsidR="00BD7402">
        <w:rPr>
          <w:rFonts w:ascii="Tahoma" w:hAnsi="Tahoma" w:cs="Tahoma"/>
          <w:sz w:val="22"/>
          <w:szCs w:val="22"/>
          <w:lang w:val="en-US"/>
        </w:rPr>
        <w:t xml:space="preserve"> </w:t>
      </w:r>
      <w:r w:rsidRPr="00AB655A">
        <w:rPr>
          <w:rFonts w:ascii="Tahoma" w:hAnsi="Tahoma" w:cs="Tahoma"/>
          <w:sz w:val="22"/>
          <w:szCs w:val="22"/>
          <w:lang w:val="en-US"/>
        </w:rPr>
        <w:t xml:space="preserve">the recognition of needs and interests; and the full enjoyment of labor rights. </w:t>
      </w:r>
    </w:p>
    <w:p w14:paraId="28125561" w14:textId="3B0DCD8B" w:rsidR="009A5CDE" w:rsidRPr="00AB655A" w:rsidRDefault="009A5CDE" w:rsidP="00173AFA">
      <w:pPr>
        <w:spacing w:line="288" w:lineRule="auto"/>
        <w:jc w:val="both"/>
        <w:rPr>
          <w:rFonts w:ascii="Tahoma" w:hAnsi="Tahoma" w:cs="Tahoma"/>
          <w:sz w:val="22"/>
          <w:szCs w:val="22"/>
          <w:lang w:val="en-US"/>
        </w:rPr>
      </w:pPr>
      <w:r w:rsidRPr="00AB655A">
        <w:rPr>
          <w:rFonts w:ascii="Tahoma" w:hAnsi="Tahoma" w:cs="Tahoma"/>
          <w:sz w:val="22"/>
          <w:szCs w:val="22"/>
          <w:lang w:val="en-US"/>
        </w:rPr>
        <w:t>The existence of cultural and organizational biases and barriers does not allow the institution to fully take advantage of the skills it has at i</w:t>
      </w:r>
      <w:r w:rsidR="006D4CD4" w:rsidRPr="00AB655A">
        <w:rPr>
          <w:rFonts w:ascii="Tahoma" w:hAnsi="Tahoma" w:cs="Tahoma"/>
          <w:sz w:val="22"/>
          <w:szCs w:val="22"/>
          <w:lang w:val="en-US"/>
        </w:rPr>
        <w:t>t</w:t>
      </w:r>
      <w:r w:rsidRPr="00AB655A">
        <w:rPr>
          <w:rFonts w:ascii="Tahoma" w:hAnsi="Tahoma" w:cs="Tahoma"/>
          <w:sz w:val="22"/>
          <w:szCs w:val="22"/>
          <w:lang w:val="en-US"/>
        </w:rPr>
        <w:t>s disposal. I</w:t>
      </w:r>
      <w:r w:rsidR="00336AE1" w:rsidRPr="00AB655A">
        <w:rPr>
          <w:rFonts w:ascii="Tahoma" w:hAnsi="Tahoma" w:cs="Tahoma"/>
          <w:sz w:val="22"/>
          <w:szCs w:val="22"/>
          <w:lang w:val="en-US"/>
        </w:rPr>
        <w:t>t also affects men’s and women’s ability to develop those skills. Gender gaps are evident in the existence of unequal opportunities for men and women regarding professional development; in the existence of horizontal and vertical spaces of segregation; gender stereotypes in skills, tasks, salaries, and roles; inequalities associated to family responsibilities; and the lack of attention provided to workplace and sexual harassment and any other type of gender-based violence, and its consequences.</w:t>
      </w:r>
    </w:p>
    <w:p w14:paraId="056724C5" w14:textId="1792E7AC" w:rsidR="00336AE1" w:rsidRPr="00AB655A" w:rsidRDefault="446BF89E" w:rsidP="00173AFA">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As a result of this scenario, conducting a continuous gender analysis among </w:t>
      </w:r>
      <w:r w:rsidR="118613B7" w:rsidRPr="2425A842">
        <w:rPr>
          <w:rFonts w:ascii="Tahoma" w:hAnsi="Tahoma" w:cs="Tahoma"/>
          <w:sz w:val="22"/>
          <w:szCs w:val="22"/>
          <w:lang w:val="en-US"/>
        </w:rPr>
        <w:t xml:space="preserve">the Ministry’s personnel </w:t>
      </w:r>
      <w:r w:rsidRPr="2425A842">
        <w:rPr>
          <w:rFonts w:ascii="Tahoma" w:hAnsi="Tahoma" w:cs="Tahoma"/>
          <w:sz w:val="22"/>
          <w:szCs w:val="22"/>
          <w:lang w:val="en-US"/>
        </w:rPr>
        <w:t xml:space="preserve">is key. The purpose is to ensure that there is no discrimination in salaries, in the hiring processes, and </w:t>
      </w:r>
      <w:r w:rsidRPr="2425A842">
        <w:rPr>
          <w:rFonts w:ascii="Tahoma" w:hAnsi="Tahoma" w:cs="Tahoma"/>
          <w:sz w:val="22"/>
          <w:szCs w:val="22"/>
          <w:lang w:val="en-US"/>
        </w:rPr>
        <w:t xml:space="preserve">in </w:t>
      </w:r>
      <w:r w:rsidRPr="2425A842">
        <w:rPr>
          <w:rFonts w:ascii="Tahoma" w:hAnsi="Tahoma" w:cs="Tahoma"/>
          <w:sz w:val="22"/>
          <w:szCs w:val="22"/>
          <w:lang w:val="en-US"/>
        </w:rPr>
        <w:t xml:space="preserve">the selection of staff. Also, the institution </w:t>
      </w:r>
      <w:r w:rsidRPr="2425A842">
        <w:rPr>
          <w:rFonts w:ascii="Tahoma" w:hAnsi="Tahoma" w:cs="Tahoma"/>
          <w:sz w:val="22"/>
          <w:szCs w:val="22"/>
          <w:lang w:val="en-US"/>
        </w:rPr>
        <w:t xml:space="preserve">should </w:t>
      </w:r>
      <w:r w:rsidRPr="2425A842">
        <w:rPr>
          <w:rFonts w:ascii="Tahoma" w:hAnsi="Tahoma" w:cs="Tahoma"/>
          <w:sz w:val="22"/>
          <w:szCs w:val="22"/>
          <w:lang w:val="en-US"/>
        </w:rPr>
        <w:t xml:space="preserve">provide equal opportunities to all staff in terms of access to vacancies, to opportunities </w:t>
      </w:r>
      <w:r w:rsidRPr="2425A842">
        <w:rPr>
          <w:rFonts w:ascii="Tahoma" w:hAnsi="Tahoma" w:cs="Tahoma"/>
          <w:sz w:val="22"/>
          <w:szCs w:val="22"/>
          <w:lang w:val="en-US"/>
        </w:rPr>
        <w:t>for</w:t>
      </w:r>
      <w:r w:rsidRPr="2425A842">
        <w:rPr>
          <w:rFonts w:ascii="Tahoma" w:hAnsi="Tahoma" w:cs="Tahoma"/>
          <w:sz w:val="22"/>
          <w:szCs w:val="22"/>
          <w:lang w:val="en-US"/>
        </w:rPr>
        <w:t xml:space="preserve"> professional development and career advancement. </w:t>
      </w:r>
      <w:proofErr w:type="gramStart"/>
      <w:r w:rsidRPr="2425A842">
        <w:rPr>
          <w:rFonts w:ascii="Tahoma" w:hAnsi="Tahoma" w:cs="Tahoma"/>
          <w:sz w:val="22"/>
          <w:szCs w:val="22"/>
          <w:lang w:val="en-US"/>
        </w:rPr>
        <w:t>All of</w:t>
      </w:r>
      <w:proofErr w:type="gramEnd"/>
      <w:r w:rsidRPr="2425A842">
        <w:rPr>
          <w:rFonts w:ascii="Tahoma" w:hAnsi="Tahoma" w:cs="Tahoma"/>
          <w:sz w:val="22"/>
          <w:szCs w:val="22"/>
          <w:lang w:val="en-US"/>
        </w:rPr>
        <w:t xml:space="preserve"> these situations are crucial pieces of an effective policy of equal opportunities.</w:t>
      </w:r>
    </w:p>
    <w:p w14:paraId="5B778699" w14:textId="77777777" w:rsidR="003B749A" w:rsidRPr="00AB655A" w:rsidRDefault="003B749A" w:rsidP="00173AFA">
      <w:pPr>
        <w:spacing w:line="288" w:lineRule="auto"/>
        <w:jc w:val="both"/>
        <w:rPr>
          <w:rFonts w:ascii="Tahoma" w:hAnsi="Tahoma" w:cs="Tahoma"/>
          <w:sz w:val="22"/>
          <w:szCs w:val="22"/>
          <w:lang w:val="en-US"/>
        </w:rPr>
      </w:pPr>
    </w:p>
    <w:p w14:paraId="68062EA3" w14:textId="609C8DAC" w:rsidR="00173AFA" w:rsidRPr="00AB655A" w:rsidRDefault="004D0CEC" w:rsidP="003B749A">
      <w:pPr>
        <w:pStyle w:val="Heading2"/>
        <w:pBdr>
          <w:top w:val="single" w:sz="4" w:space="0" w:color="auto"/>
          <w:left w:val="single" w:sz="4" w:space="0" w:color="auto"/>
          <w:bottom w:val="single" w:sz="4" w:space="0" w:color="auto"/>
          <w:right w:val="single" w:sz="4" w:space="0" w:color="auto"/>
          <w:between w:val="single" w:sz="4" w:space="0" w:color="auto"/>
          <w:bar w:val="single" w:sz="4" w:color="auto"/>
        </w:pBdr>
        <w:rPr>
          <w:lang w:val="en-US"/>
        </w:rPr>
      </w:pPr>
      <w:r w:rsidRPr="00AB655A">
        <w:rPr>
          <w:lang w:val="en-US"/>
        </w:rPr>
        <w:t>LINE OF ACTION 4: Strengthen the skills of officials on gender to consolidate the inclusion of a gend</w:t>
      </w:r>
      <w:r w:rsidR="00FB4380" w:rsidRPr="00AB655A">
        <w:rPr>
          <w:lang w:val="en-US"/>
        </w:rPr>
        <w:t>er approach in their daily work</w:t>
      </w:r>
    </w:p>
    <w:p w14:paraId="55691F1F" w14:textId="77777777" w:rsidR="00417D64" w:rsidRPr="00AB655A" w:rsidRDefault="00417D64" w:rsidP="00417D64">
      <w:pPr>
        <w:spacing w:before="0" w:after="0" w:line="288" w:lineRule="auto"/>
        <w:jc w:val="both"/>
        <w:rPr>
          <w:rFonts w:ascii="Tahoma" w:hAnsi="Tahoma" w:cs="Tahoma"/>
          <w:sz w:val="22"/>
          <w:szCs w:val="22"/>
          <w:lang w:val="en-US"/>
        </w:rPr>
      </w:pPr>
    </w:p>
    <w:p w14:paraId="2C2DBFB8" w14:textId="1CFE9D53" w:rsidR="00BE1A39" w:rsidRPr="00AB655A" w:rsidRDefault="00BE1A39" w:rsidP="00173AFA">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Awareness-raising and training are essential aspects to incorporate a gender approach. This is true to the extent that they look to create a change in attitudes, </w:t>
      </w:r>
      <w:r w:rsidR="002B05B2">
        <w:rPr>
          <w:rFonts w:ascii="Tahoma" w:hAnsi="Tahoma" w:cs="Tahoma"/>
          <w:sz w:val="22"/>
          <w:szCs w:val="22"/>
          <w:lang w:val="en-US"/>
        </w:rPr>
        <w:t xml:space="preserve">modify </w:t>
      </w:r>
      <w:r w:rsidRPr="00AB655A">
        <w:rPr>
          <w:rFonts w:ascii="Tahoma" w:hAnsi="Tahoma" w:cs="Tahoma"/>
          <w:sz w:val="22"/>
          <w:szCs w:val="22"/>
          <w:lang w:val="en-US"/>
        </w:rPr>
        <w:t>workers’ wills, and foster an inclusive culture, all through reflection and the participation of various stakeholders.</w:t>
      </w:r>
    </w:p>
    <w:p w14:paraId="2FCB4319" w14:textId="3ADAC2C3" w:rsidR="00BE1A39" w:rsidRPr="00AB655A" w:rsidRDefault="00BE1A39" w:rsidP="00173AFA">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Training on gender equality is a transformative process that aims to provide knowledge, techniques, and tools to develop skills and changes in attitudes and behaviors to interpret </w:t>
      </w:r>
      <w:r w:rsidRPr="00AB655A">
        <w:rPr>
          <w:rFonts w:ascii="Tahoma" w:hAnsi="Tahoma" w:cs="Tahoma"/>
          <w:sz w:val="22"/>
          <w:szCs w:val="22"/>
          <w:lang w:val="en-US"/>
        </w:rPr>
        <w:lastRenderedPageBreak/>
        <w:t xml:space="preserve">and transform reality. The need to train staff varies based on their location and roles, their personal and professional experience, and </w:t>
      </w:r>
      <w:r w:rsidR="00FB4380" w:rsidRPr="00AB655A">
        <w:rPr>
          <w:rFonts w:ascii="Tahoma" w:hAnsi="Tahoma" w:cs="Tahoma"/>
          <w:sz w:val="22"/>
          <w:szCs w:val="22"/>
          <w:lang w:val="en-US"/>
        </w:rPr>
        <w:t xml:space="preserve">their on-the-job learning. Consequently, it is important to identify different levels of training so that officials multiply the knowledge acquired and use the category of gender as an analysis tool at work.  </w:t>
      </w:r>
    </w:p>
    <w:p w14:paraId="044F82FB" w14:textId="7AFB6E13" w:rsidR="00FB4380" w:rsidRPr="00AB655A" w:rsidRDefault="31B0D835" w:rsidP="00173AFA">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Awareness-raising allows people to become aware of the collective cultural, political, and social problems, and it fosters the understanding of some social practices. It is also the first step to understanding power, social, race, nationality, and ethnicity relations that take place within and outside of the organization. </w:t>
      </w:r>
    </w:p>
    <w:p w14:paraId="2C962031" w14:textId="2E1792BD" w:rsidR="00FB4380" w:rsidRPr="00AB655A" w:rsidRDefault="31B0D835" w:rsidP="00173AFA">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Training and raising awareness among staff strengthen and enable efforts related to the second line of action regarding gender mainstreaming in institutional policies, programs, and projects. These practices facilitate this line of action by providing the necessary tools to </w:t>
      </w:r>
      <w:r w:rsidRPr="2425A842">
        <w:rPr>
          <w:rFonts w:ascii="Tahoma" w:hAnsi="Tahoma" w:cs="Tahoma"/>
          <w:sz w:val="22"/>
          <w:szCs w:val="22"/>
          <w:lang w:val="en-US"/>
        </w:rPr>
        <w:t>deepen</w:t>
      </w:r>
      <w:r w:rsidRPr="2425A842">
        <w:rPr>
          <w:rFonts w:ascii="Tahoma" w:hAnsi="Tahoma" w:cs="Tahoma"/>
          <w:sz w:val="22"/>
          <w:szCs w:val="22"/>
          <w:lang w:val="en-US"/>
        </w:rPr>
        <w:t xml:space="preserve"> the mainstreaming process.</w:t>
      </w:r>
    </w:p>
    <w:p w14:paraId="576B55CA" w14:textId="77777777" w:rsidR="002F5EE8" w:rsidRPr="00AB655A" w:rsidRDefault="002F5EE8" w:rsidP="00173AFA">
      <w:pPr>
        <w:spacing w:line="288" w:lineRule="auto"/>
        <w:jc w:val="both"/>
        <w:rPr>
          <w:rFonts w:ascii="Tahoma" w:hAnsi="Tahoma" w:cs="Tahoma"/>
          <w:sz w:val="22"/>
          <w:szCs w:val="22"/>
          <w:lang w:val="en-US"/>
        </w:rPr>
      </w:pPr>
    </w:p>
    <w:p w14:paraId="7A2DBE84" w14:textId="1D983EB9" w:rsidR="000B1E10" w:rsidRPr="00AB655A" w:rsidRDefault="00FB4380" w:rsidP="003B749A">
      <w:pPr>
        <w:pStyle w:val="Heading2"/>
        <w:pBdr>
          <w:top w:val="single" w:sz="4" w:space="0" w:color="auto"/>
          <w:left w:val="single" w:sz="4" w:space="0" w:color="auto"/>
          <w:bottom w:val="single" w:sz="4" w:space="0" w:color="auto"/>
          <w:right w:val="single" w:sz="4" w:space="0" w:color="auto"/>
          <w:between w:val="single" w:sz="4" w:space="0" w:color="auto"/>
          <w:bar w:val="single" w:sz="4" w:color="auto"/>
        </w:pBdr>
        <w:rPr>
          <w:lang w:val="en-US"/>
        </w:rPr>
      </w:pPr>
      <w:r w:rsidRPr="00AB655A">
        <w:rPr>
          <w:lang w:val="en-US"/>
        </w:rPr>
        <w:t>LINE OF ACTION 5: Communication with a gender approach</w:t>
      </w:r>
    </w:p>
    <w:p w14:paraId="18305042" w14:textId="77777777" w:rsidR="00417D64" w:rsidRPr="00AB655A" w:rsidRDefault="00417D64" w:rsidP="00417D64">
      <w:pPr>
        <w:spacing w:before="0" w:after="0" w:line="288" w:lineRule="auto"/>
        <w:jc w:val="both"/>
        <w:rPr>
          <w:rFonts w:ascii="Tahoma" w:hAnsi="Tahoma" w:cs="Tahoma"/>
          <w:sz w:val="22"/>
          <w:szCs w:val="22"/>
          <w:lang w:val="en-US"/>
        </w:rPr>
      </w:pPr>
    </w:p>
    <w:p w14:paraId="35857935" w14:textId="68B77487" w:rsidR="00FB4380" w:rsidRPr="00AB655A" w:rsidRDefault="00FB4380" w:rsidP="000B1E10">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The communication strategy carries a significant weight in the process of institutionalizing and mainstreaming gender. </w:t>
      </w:r>
      <w:proofErr w:type="gramStart"/>
      <w:r w:rsidRPr="00AB655A">
        <w:rPr>
          <w:rFonts w:ascii="Tahoma" w:hAnsi="Tahoma" w:cs="Tahoma"/>
          <w:sz w:val="22"/>
          <w:szCs w:val="22"/>
          <w:lang w:val="en-US"/>
        </w:rPr>
        <w:t>In reality, equal</w:t>
      </w:r>
      <w:proofErr w:type="gramEnd"/>
      <w:r w:rsidRPr="00AB655A">
        <w:rPr>
          <w:rFonts w:ascii="Tahoma" w:hAnsi="Tahoma" w:cs="Tahoma"/>
          <w:sz w:val="22"/>
          <w:szCs w:val="22"/>
          <w:lang w:val="en-US"/>
        </w:rPr>
        <w:t xml:space="preserve"> opportunities between men and women in organiza</w:t>
      </w:r>
      <w:r w:rsidR="0036481A" w:rsidRPr="00AB655A">
        <w:rPr>
          <w:rFonts w:ascii="Tahoma" w:hAnsi="Tahoma" w:cs="Tahoma"/>
          <w:sz w:val="22"/>
          <w:szCs w:val="22"/>
          <w:lang w:val="en-US"/>
        </w:rPr>
        <w:t>tions is not achieved solely in job positions, decision-making, or even in the development of policies. Rather, it also takes place in the generation of opinions and in the</w:t>
      </w:r>
      <w:r w:rsidR="006A1AF0" w:rsidRPr="00AB655A">
        <w:rPr>
          <w:rFonts w:ascii="Tahoma" w:hAnsi="Tahoma" w:cs="Tahoma"/>
          <w:sz w:val="22"/>
          <w:szCs w:val="22"/>
          <w:lang w:val="en-US"/>
        </w:rPr>
        <w:t xml:space="preserve"> different ways of communicating</w:t>
      </w:r>
      <w:r w:rsidR="0036481A" w:rsidRPr="00AB655A">
        <w:rPr>
          <w:rFonts w:ascii="Tahoma" w:hAnsi="Tahoma" w:cs="Tahoma"/>
          <w:sz w:val="22"/>
          <w:szCs w:val="22"/>
          <w:lang w:val="en-US"/>
        </w:rPr>
        <w:t xml:space="preserve"> a reality.</w:t>
      </w:r>
    </w:p>
    <w:p w14:paraId="25F61BD2" w14:textId="4A2C48AE" w:rsidR="0036481A" w:rsidRPr="00AB655A" w:rsidRDefault="25EE2836" w:rsidP="000B1E10">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Every institution is characterized by </w:t>
      </w:r>
      <w:r w:rsidR="0052126E">
        <w:rPr>
          <w:rFonts w:ascii="Tahoma" w:hAnsi="Tahoma" w:cs="Tahoma"/>
          <w:sz w:val="22"/>
          <w:szCs w:val="22"/>
          <w:lang w:val="en-US"/>
        </w:rPr>
        <w:t>its</w:t>
      </w:r>
      <w:r w:rsidRPr="2425A842">
        <w:rPr>
          <w:rFonts w:ascii="Tahoma" w:hAnsi="Tahoma" w:cs="Tahoma"/>
          <w:sz w:val="22"/>
          <w:szCs w:val="22"/>
          <w:lang w:val="en-US"/>
        </w:rPr>
        <w:t xml:space="preserve"> communication</w:t>
      </w:r>
      <w:r w:rsidR="0052126E">
        <w:rPr>
          <w:rFonts w:ascii="Tahoma" w:hAnsi="Tahoma" w:cs="Tahoma"/>
          <w:sz w:val="22"/>
          <w:szCs w:val="22"/>
          <w:lang w:val="en-US"/>
        </w:rPr>
        <w:t xml:space="preserve"> style</w:t>
      </w:r>
      <w:r w:rsidRPr="2425A842">
        <w:rPr>
          <w:rFonts w:ascii="Tahoma" w:hAnsi="Tahoma" w:cs="Tahoma"/>
          <w:sz w:val="22"/>
          <w:szCs w:val="22"/>
          <w:lang w:val="en-US"/>
        </w:rPr>
        <w:t>, which is</w:t>
      </w:r>
      <w:r w:rsidRPr="2425A842">
        <w:rPr>
          <w:rFonts w:ascii="Tahoma" w:hAnsi="Tahoma" w:cs="Tahoma"/>
          <w:sz w:val="22"/>
          <w:szCs w:val="22"/>
          <w:lang w:val="en-US"/>
        </w:rPr>
        <w:t xml:space="preserve"> in turn, </w:t>
      </w:r>
      <w:r w:rsidRPr="2425A842">
        <w:rPr>
          <w:rFonts w:ascii="Tahoma" w:hAnsi="Tahoma" w:cs="Tahoma"/>
          <w:sz w:val="22"/>
          <w:szCs w:val="22"/>
          <w:lang w:val="en-US"/>
        </w:rPr>
        <w:t xml:space="preserve">determined </w:t>
      </w:r>
      <w:r w:rsidRPr="2425A842">
        <w:rPr>
          <w:rFonts w:ascii="Tahoma" w:hAnsi="Tahoma" w:cs="Tahoma"/>
          <w:sz w:val="22"/>
          <w:szCs w:val="22"/>
          <w:lang w:val="en-US"/>
        </w:rPr>
        <w:t xml:space="preserve">by specific guidelines, rules, positions, and values that correspond to the </w:t>
      </w:r>
      <w:proofErr w:type="gramStart"/>
      <w:r w:rsidRPr="2425A842">
        <w:rPr>
          <w:rFonts w:ascii="Tahoma" w:hAnsi="Tahoma" w:cs="Tahoma"/>
          <w:sz w:val="22"/>
          <w:szCs w:val="22"/>
          <w:lang w:val="en-US"/>
        </w:rPr>
        <w:t>particular institution’s</w:t>
      </w:r>
      <w:proofErr w:type="gramEnd"/>
      <w:r w:rsidRPr="2425A842">
        <w:rPr>
          <w:rFonts w:ascii="Tahoma" w:hAnsi="Tahoma" w:cs="Tahoma"/>
          <w:sz w:val="22"/>
          <w:szCs w:val="22"/>
          <w:lang w:val="en-US"/>
        </w:rPr>
        <w:t xml:space="preserve"> roles. Institutions have different levels of expression; the most evident one is the definition of their dissemination materials, their internal newsletters, language style, and other forms of internal and external communica</w:t>
      </w:r>
      <w:r w:rsidR="7940EE47" w:rsidRPr="2425A842">
        <w:rPr>
          <w:rFonts w:ascii="Tahoma" w:hAnsi="Tahoma" w:cs="Tahoma"/>
          <w:sz w:val="22"/>
          <w:szCs w:val="22"/>
          <w:lang w:val="en-US"/>
        </w:rPr>
        <w:t>tion.</w:t>
      </w:r>
    </w:p>
    <w:p w14:paraId="218B8B42" w14:textId="5048CAD3" w:rsidR="000B1E10" w:rsidRPr="00AB655A" w:rsidRDefault="25EE2836" w:rsidP="002A5C3E">
      <w:pPr>
        <w:spacing w:line="288" w:lineRule="auto"/>
        <w:jc w:val="both"/>
        <w:rPr>
          <w:rFonts w:ascii="Tahoma" w:hAnsi="Tahoma" w:cs="Tahoma"/>
          <w:sz w:val="22"/>
          <w:szCs w:val="22"/>
          <w:lang w:val="en-US"/>
        </w:rPr>
      </w:pPr>
      <w:r w:rsidRPr="2425A842">
        <w:rPr>
          <w:rFonts w:ascii="Tahoma" w:hAnsi="Tahoma" w:cs="Tahoma"/>
          <w:sz w:val="22"/>
          <w:szCs w:val="22"/>
          <w:lang w:val="en-US"/>
        </w:rPr>
        <w:t>The image and representation of an organization refer</w:t>
      </w:r>
      <w:r w:rsidR="0036481A" w:rsidRPr="2425A842">
        <w:rPr>
          <w:rFonts w:ascii="Tahoma" w:hAnsi="Tahoma" w:cs="Tahoma"/>
          <w:sz w:val="22"/>
          <w:szCs w:val="22"/>
          <w:lang w:val="en-US"/>
        </w:rPr>
        <w:t>s</w:t>
      </w:r>
      <w:r w:rsidRPr="2425A842">
        <w:rPr>
          <w:rFonts w:ascii="Tahoma" w:hAnsi="Tahoma" w:cs="Tahoma"/>
          <w:sz w:val="22"/>
          <w:szCs w:val="22"/>
          <w:lang w:val="en-US"/>
        </w:rPr>
        <w:t xml:space="preserve"> to the materials that provide information regarding </w:t>
      </w:r>
      <w:r w:rsidRPr="2425A842">
        <w:rPr>
          <w:rFonts w:ascii="Tahoma" w:hAnsi="Tahoma" w:cs="Tahoma"/>
          <w:sz w:val="22"/>
          <w:szCs w:val="22"/>
          <w:lang w:val="en-US"/>
        </w:rPr>
        <w:t>its</w:t>
      </w:r>
      <w:r w:rsidRPr="2425A842">
        <w:rPr>
          <w:rFonts w:ascii="Tahoma" w:hAnsi="Tahoma" w:cs="Tahoma"/>
          <w:sz w:val="22"/>
          <w:szCs w:val="22"/>
          <w:lang w:val="en-US"/>
        </w:rPr>
        <w:t xml:space="preserve"> products and services. Through </w:t>
      </w:r>
      <w:r w:rsidR="6FBD106A" w:rsidRPr="2425A842">
        <w:rPr>
          <w:rFonts w:ascii="Tahoma" w:hAnsi="Tahoma" w:cs="Tahoma"/>
          <w:sz w:val="22"/>
          <w:szCs w:val="22"/>
          <w:lang w:val="en-US"/>
        </w:rPr>
        <w:t>these materials</w:t>
      </w:r>
      <w:r w:rsidRPr="2425A842">
        <w:rPr>
          <w:rFonts w:ascii="Tahoma" w:hAnsi="Tahoma" w:cs="Tahoma"/>
          <w:sz w:val="22"/>
          <w:szCs w:val="22"/>
          <w:lang w:val="en-US"/>
        </w:rPr>
        <w:t xml:space="preserve">, the </w:t>
      </w:r>
      <w:r w:rsidR="6FBD106A" w:rsidRPr="2425A842">
        <w:rPr>
          <w:rFonts w:ascii="Tahoma" w:hAnsi="Tahoma" w:cs="Tahoma"/>
          <w:sz w:val="22"/>
          <w:szCs w:val="22"/>
          <w:lang w:val="en-US"/>
        </w:rPr>
        <w:t xml:space="preserve">institution expresses its values, beliefs, and attitudes, reflecting the most evident dynamics, norms, behaviors, and practices. Therefore, it is the institution’s responsibility to </w:t>
      </w:r>
      <w:r w:rsidR="6FBD106A" w:rsidRPr="2425A842">
        <w:rPr>
          <w:rFonts w:ascii="Tahoma" w:hAnsi="Tahoma" w:cs="Tahoma"/>
          <w:sz w:val="22"/>
          <w:szCs w:val="22"/>
          <w:lang w:val="en-US"/>
        </w:rPr>
        <w:t>dismantle</w:t>
      </w:r>
      <w:r w:rsidR="6FBD106A" w:rsidRPr="2425A842">
        <w:rPr>
          <w:rFonts w:ascii="Tahoma" w:hAnsi="Tahoma" w:cs="Tahoma"/>
          <w:sz w:val="22"/>
          <w:szCs w:val="22"/>
          <w:lang w:val="en-US"/>
        </w:rPr>
        <w:t xml:space="preserve"> or counteract prejudice and </w:t>
      </w:r>
      <w:proofErr w:type="gramStart"/>
      <w:r w:rsidR="6FBD106A" w:rsidRPr="2425A842">
        <w:rPr>
          <w:rFonts w:ascii="Tahoma" w:hAnsi="Tahoma" w:cs="Tahoma"/>
          <w:sz w:val="22"/>
          <w:szCs w:val="22"/>
          <w:lang w:val="en-US"/>
        </w:rPr>
        <w:t>stereotypes</w:t>
      </w:r>
      <w:r w:rsidR="6FBD106A" w:rsidRPr="2425A842">
        <w:rPr>
          <w:rFonts w:ascii="Tahoma" w:hAnsi="Tahoma" w:cs="Tahoma"/>
          <w:sz w:val="22"/>
          <w:szCs w:val="22"/>
          <w:lang w:val="en-US"/>
        </w:rPr>
        <w:t>,</w:t>
      </w:r>
      <w:r w:rsidR="6FBD106A" w:rsidRPr="2425A842">
        <w:rPr>
          <w:rFonts w:ascii="Tahoma" w:hAnsi="Tahoma" w:cs="Tahoma"/>
          <w:sz w:val="22"/>
          <w:szCs w:val="22"/>
          <w:lang w:val="en-US"/>
        </w:rPr>
        <w:t xml:space="preserve"> and</w:t>
      </w:r>
      <w:proofErr w:type="gramEnd"/>
      <w:r w:rsidR="6FBD106A" w:rsidRPr="2425A842">
        <w:rPr>
          <w:rFonts w:ascii="Tahoma" w:hAnsi="Tahoma" w:cs="Tahoma"/>
          <w:sz w:val="22"/>
          <w:szCs w:val="22"/>
          <w:lang w:val="en-US"/>
        </w:rPr>
        <w:t xml:space="preserve"> propose changes </w:t>
      </w:r>
      <w:r w:rsidR="7940EE47" w:rsidRPr="2425A842">
        <w:rPr>
          <w:rFonts w:ascii="Tahoma" w:hAnsi="Tahoma" w:cs="Tahoma"/>
          <w:sz w:val="22"/>
          <w:szCs w:val="22"/>
          <w:lang w:val="en-US"/>
        </w:rPr>
        <w:t>through</w:t>
      </w:r>
      <w:r w:rsidR="6FBD106A" w:rsidRPr="2425A842">
        <w:rPr>
          <w:rFonts w:ascii="Tahoma" w:hAnsi="Tahoma" w:cs="Tahoma"/>
          <w:sz w:val="22"/>
          <w:szCs w:val="22"/>
          <w:lang w:val="en-US"/>
        </w:rPr>
        <w:t xml:space="preserve"> the use of language and its power to </w:t>
      </w:r>
      <w:r w:rsidR="6FBD106A" w:rsidRPr="2425A842">
        <w:rPr>
          <w:rFonts w:ascii="Tahoma" w:hAnsi="Tahoma" w:cs="Tahoma"/>
          <w:sz w:val="22"/>
          <w:szCs w:val="22"/>
          <w:lang w:val="en-US"/>
        </w:rPr>
        <w:t>build</w:t>
      </w:r>
      <w:r w:rsidR="6FBD106A" w:rsidRPr="2425A842">
        <w:rPr>
          <w:rFonts w:ascii="Tahoma" w:hAnsi="Tahoma" w:cs="Tahoma"/>
          <w:sz w:val="22"/>
          <w:szCs w:val="22"/>
          <w:lang w:val="en-US"/>
        </w:rPr>
        <w:t xml:space="preserve"> awareness and shape the identity of its target population. </w:t>
      </w:r>
    </w:p>
    <w:p w14:paraId="5E46883B" w14:textId="5474AE65" w:rsidR="000D7150" w:rsidRDefault="000D7150">
      <w:pPr>
        <w:rPr>
          <w:rFonts w:ascii="Tahoma" w:hAnsi="Tahoma" w:cs="Tahoma"/>
          <w:sz w:val="22"/>
          <w:szCs w:val="22"/>
          <w:lang w:val="en-US"/>
        </w:rPr>
      </w:pPr>
      <w:r>
        <w:rPr>
          <w:rFonts w:ascii="Tahoma" w:hAnsi="Tahoma" w:cs="Tahoma"/>
          <w:sz w:val="22"/>
          <w:szCs w:val="22"/>
          <w:lang w:val="en-US"/>
        </w:rPr>
        <w:br w:type="page"/>
      </w:r>
    </w:p>
    <w:p w14:paraId="1B5346B0" w14:textId="77777777" w:rsidR="005F1B48" w:rsidRPr="00AB655A" w:rsidRDefault="005F1B48" w:rsidP="000B1E10">
      <w:pPr>
        <w:spacing w:line="288" w:lineRule="auto"/>
        <w:jc w:val="both"/>
        <w:rPr>
          <w:rFonts w:ascii="Tahoma" w:hAnsi="Tahoma" w:cs="Tahoma"/>
          <w:sz w:val="22"/>
          <w:szCs w:val="22"/>
          <w:lang w:val="en-US"/>
        </w:rPr>
      </w:pPr>
    </w:p>
    <w:p w14:paraId="288CFE2F" w14:textId="6AE2D66C" w:rsidR="00372E0D" w:rsidRPr="00AB655A" w:rsidRDefault="4FA69C84" w:rsidP="00EB2D0E">
      <w:pPr>
        <w:pStyle w:val="Heading1"/>
        <w:numPr>
          <w:ilvl w:val="0"/>
          <w:numId w:val="3"/>
        </w:numPr>
        <w:rPr>
          <w:rFonts w:ascii="Tahoma" w:hAnsi="Tahoma" w:cs="Tahoma"/>
          <w:b/>
          <w:bCs/>
          <w:lang w:val="en-US"/>
        </w:rPr>
      </w:pPr>
      <w:r w:rsidRPr="2425A842">
        <w:rPr>
          <w:lang w:val="en-US"/>
        </w:rPr>
        <w:t xml:space="preserve">STRATEGIC OBJECTIVES </w:t>
      </w:r>
      <w:r w:rsidR="4B2E16DC" w:rsidRPr="2425A842">
        <w:rPr>
          <w:lang w:val="en-US"/>
        </w:rPr>
        <w:t>FOR EVERY</w:t>
      </w:r>
      <w:r w:rsidRPr="2425A842">
        <w:rPr>
          <w:lang w:val="en-US"/>
        </w:rPr>
        <w:t xml:space="preserve"> LINE OF ACTION</w:t>
      </w:r>
    </w:p>
    <w:p w14:paraId="7B27D215" w14:textId="77777777" w:rsidR="0021183C" w:rsidRPr="00AB655A" w:rsidRDefault="0021183C" w:rsidP="00573241">
      <w:pPr>
        <w:spacing w:line="288" w:lineRule="auto"/>
        <w:jc w:val="both"/>
        <w:rPr>
          <w:rFonts w:ascii="Tahoma" w:hAnsi="Tahoma" w:cs="Tahoma"/>
          <w:sz w:val="22"/>
          <w:szCs w:val="22"/>
          <w:lang w:val="en-US"/>
        </w:rPr>
      </w:pPr>
    </w:p>
    <w:p w14:paraId="5F1A5865" w14:textId="494E803C" w:rsidR="00BC253C" w:rsidRPr="00AB655A" w:rsidRDefault="00BC253C" w:rsidP="00573241">
      <w:pPr>
        <w:spacing w:line="288" w:lineRule="auto"/>
        <w:jc w:val="both"/>
        <w:rPr>
          <w:rFonts w:ascii="Tahoma" w:hAnsi="Tahoma" w:cs="Tahoma"/>
          <w:sz w:val="22"/>
          <w:szCs w:val="22"/>
          <w:lang w:val="en-US"/>
        </w:rPr>
      </w:pPr>
      <w:r w:rsidRPr="00AB655A">
        <w:rPr>
          <w:rFonts w:ascii="Tahoma" w:hAnsi="Tahoma" w:cs="Tahoma"/>
          <w:sz w:val="22"/>
          <w:szCs w:val="22"/>
          <w:lang w:val="en-US"/>
        </w:rPr>
        <w:t xml:space="preserve">Once the Specialized Gender Unit establishes the Lines of Action it will address, it can then set the Strategic Objectives that correspond to each line of action. These objectives refer to the goals or targets that the unit expects to achieve in a specific </w:t>
      </w:r>
      <w:proofErr w:type="gramStart"/>
      <w:r w:rsidRPr="00AB655A">
        <w:rPr>
          <w:rFonts w:ascii="Tahoma" w:hAnsi="Tahoma" w:cs="Tahoma"/>
          <w:sz w:val="22"/>
          <w:szCs w:val="22"/>
          <w:lang w:val="en-US"/>
        </w:rPr>
        <w:t>period of time</w:t>
      </w:r>
      <w:proofErr w:type="gramEnd"/>
      <w:r w:rsidRPr="00AB655A">
        <w:rPr>
          <w:rFonts w:ascii="Tahoma" w:hAnsi="Tahoma" w:cs="Tahoma"/>
          <w:sz w:val="22"/>
          <w:szCs w:val="22"/>
          <w:lang w:val="en-US"/>
        </w:rPr>
        <w:t>, while also determining the actions and the means to accomplish them.</w:t>
      </w:r>
    </w:p>
    <w:p w14:paraId="530A8B1D" w14:textId="1B48DA42" w:rsidR="00573241" w:rsidRPr="00AB655A" w:rsidRDefault="4FA69C84" w:rsidP="00573241">
      <w:pPr>
        <w:spacing w:line="288" w:lineRule="auto"/>
        <w:jc w:val="both"/>
        <w:rPr>
          <w:rFonts w:ascii="Tahoma" w:hAnsi="Tahoma" w:cs="Tahoma"/>
          <w:sz w:val="22"/>
          <w:szCs w:val="22"/>
          <w:lang w:val="en-US"/>
        </w:rPr>
      </w:pPr>
      <w:r w:rsidRPr="2425A842">
        <w:rPr>
          <w:rFonts w:ascii="Tahoma" w:hAnsi="Tahoma" w:cs="Tahoma"/>
          <w:sz w:val="22"/>
          <w:szCs w:val="22"/>
          <w:lang w:val="en-US"/>
        </w:rPr>
        <w:t xml:space="preserve">The strategic objectives transform the planning into something operational. They are concrete, respond to short-term goals, and their execution and achievement are measured </w:t>
      </w:r>
      <w:r w:rsidR="2819E31E" w:rsidRPr="2425A842">
        <w:rPr>
          <w:rFonts w:ascii="Tahoma" w:hAnsi="Tahoma" w:cs="Tahoma"/>
          <w:sz w:val="22"/>
          <w:szCs w:val="22"/>
          <w:lang w:val="en-US"/>
        </w:rPr>
        <w:t>with</w:t>
      </w:r>
      <w:r w:rsidRPr="2425A842">
        <w:rPr>
          <w:rFonts w:ascii="Tahoma" w:hAnsi="Tahoma" w:cs="Tahoma"/>
          <w:sz w:val="22"/>
          <w:szCs w:val="22"/>
          <w:lang w:val="en-US"/>
        </w:rPr>
        <w:t xml:space="preserve"> indicators. </w:t>
      </w:r>
      <w:r w:rsidR="2819E31E" w:rsidRPr="2425A842">
        <w:rPr>
          <w:rFonts w:ascii="Tahoma" w:hAnsi="Tahoma" w:cs="Tahoma"/>
          <w:sz w:val="22"/>
          <w:szCs w:val="22"/>
          <w:lang w:val="en-US"/>
        </w:rPr>
        <w:t>Through the activities, the planning becomes a clear guide to achiev</w:t>
      </w:r>
      <w:r w:rsidR="2819E31E" w:rsidRPr="2425A842">
        <w:rPr>
          <w:rFonts w:ascii="Tahoma" w:hAnsi="Tahoma" w:cs="Tahoma"/>
          <w:sz w:val="22"/>
          <w:szCs w:val="22"/>
          <w:lang w:val="en-US"/>
        </w:rPr>
        <w:t>ing</w:t>
      </w:r>
      <w:r w:rsidR="2819E31E" w:rsidRPr="2425A842">
        <w:rPr>
          <w:rFonts w:ascii="Tahoma" w:hAnsi="Tahoma" w:cs="Tahoma"/>
          <w:sz w:val="22"/>
          <w:szCs w:val="22"/>
          <w:lang w:val="en-US"/>
        </w:rPr>
        <w:t xml:space="preserve"> the strategic objectives by designating financial and human resources, infrastructure, timeframes for their execution, and the </w:t>
      </w:r>
      <w:r w:rsidR="016366BA" w:rsidRPr="2425A842">
        <w:rPr>
          <w:rFonts w:ascii="Tahoma" w:hAnsi="Tahoma" w:cs="Tahoma"/>
          <w:sz w:val="22"/>
          <w:szCs w:val="22"/>
          <w:lang w:val="en-US"/>
        </w:rPr>
        <w:t>entities</w:t>
      </w:r>
      <w:r w:rsidR="2819E31E" w:rsidRPr="2425A842">
        <w:rPr>
          <w:rFonts w:ascii="Tahoma" w:hAnsi="Tahoma" w:cs="Tahoma"/>
          <w:sz w:val="22"/>
          <w:szCs w:val="22"/>
          <w:lang w:val="en-US"/>
        </w:rPr>
        <w:t xml:space="preserve"> in charge of their implementation. </w:t>
      </w:r>
    </w:p>
    <w:p w14:paraId="354A7279" w14:textId="54E9D48A" w:rsidR="003C0951" w:rsidRPr="00AB655A" w:rsidRDefault="2819E31E" w:rsidP="002415E1">
      <w:pPr>
        <w:jc w:val="both"/>
        <w:rPr>
          <w:rFonts w:ascii="Tahoma" w:hAnsi="Tahoma" w:cs="Tahoma"/>
          <w:sz w:val="22"/>
          <w:szCs w:val="22"/>
          <w:lang w:val="en-US"/>
        </w:rPr>
      </w:pPr>
      <w:r w:rsidRPr="2425A842">
        <w:rPr>
          <w:rFonts w:ascii="Tahoma" w:hAnsi="Tahoma" w:cs="Tahoma"/>
          <w:sz w:val="22"/>
          <w:szCs w:val="22"/>
          <w:lang w:val="en-US"/>
        </w:rPr>
        <w:t xml:space="preserve">Although each institution has specific characteristics, there are objectives that respond to a common denominator: advancing toward gender equality within the institution </w:t>
      </w:r>
      <w:r w:rsidRPr="2425A842">
        <w:rPr>
          <w:rFonts w:ascii="Tahoma" w:hAnsi="Tahoma" w:cs="Tahoma"/>
          <w:sz w:val="22"/>
          <w:szCs w:val="22"/>
          <w:lang w:val="en-US"/>
        </w:rPr>
        <w:t>as well as</w:t>
      </w:r>
      <w:r w:rsidRPr="2425A842">
        <w:rPr>
          <w:rFonts w:ascii="Tahoma" w:hAnsi="Tahoma" w:cs="Tahoma"/>
          <w:sz w:val="22"/>
          <w:szCs w:val="22"/>
          <w:lang w:val="en-US"/>
        </w:rPr>
        <w:t xml:space="preserve"> in the established policies and programs. </w:t>
      </w:r>
    </w:p>
    <w:p w14:paraId="78078352" w14:textId="38713696" w:rsidR="00165666" w:rsidRPr="00AB655A" w:rsidRDefault="00165666" w:rsidP="002415E1">
      <w:pPr>
        <w:jc w:val="both"/>
        <w:rPr>
          <w:rFonts w:ascii="Tahoma" w:hAnsi="Tahoma" w:cs="Tahoma"/>
          <w:sz w:val="22"/>
          <w:szCs w:val="22"/>
          <w:lang w:val="en-US"/>
        </w:rPr>
      </w:pPr>
      <w:r w:rsidRPr="00AB655A">
        <w:rPr>
          <w:rFonts w:ascii="Tahoma" w:hAnsi="Tahoma" w:cs="Tahoma"/>
          <w:sz w:val="22"/>
          <w:szCs w:val="22"/>
          <w:lang w:val="en-US"/>
        </w:rPr>
        <w:t xml:space="preserve">The table below illustrates </w:t>
      </w:r>
      <w:r w:rsidR="005B71DC" w:rsidRPr="00AB655A">
        <w:rPr>
          <w:rFonts w:ascii="Tahoma" w:hAnsi="Tahoma" w:cs="Tahoma"/>
          <w:sz w:val="22"/>
          <w:szCs w:val="22"/>
          <w:lang w:val="en-US"/>
        </w:rPr>
        <w:t>examples</w:t>
      </w:r>
      <w:r w:rsidRPr="00AB655A">
        <w:rPr>
          <w:rFonts w:ascii="Tahoma" w:hAnsi="Tahoma" w:cs="Tahoma"/>
          <w:sz w:val="22"/>
          <w:szCs w:val="22"/>
          <w:lang w:val="en-US"/>
        </w:rPr>
        <w:t xml:space="preserve"> of the strategic objectives of a Specialized Gender Unit. These are, in general, common across the Ministries of Labor (Secretariats, Counseling, or other areas).  </w:t>
      </w:r>
    </w:p>
    <w:p w14:paraId="0CC3E1B1" w14:textId="48CDA848" w:rsidR="002C3C47" w:rsidRPr="00AB655A" w:rsidRDefault="002C3C47" w:rsidP="002C3C47">
      <w:pPr>
        <w:spacing w:line="288" w:lineRule="auto"/>
        <w:jc w:val="both"/>
        <w:rPr>
          <w:rFonts w:ascii="Tahoma" w:hAnsi="Tahoma" w:cs="Tahoma"/>
          <w:sz w:val="22"/>
          <w:szCs w:val="22"/>
          <w:lang w:val="en-US"/>
        </w:rPr>
      </w:pPr>
    </w:p>
    <w:p w14:paraId="27000A28" w14:textId="3A957412" w:rsidR="00417D64" w:rsidRPr="00AB655A" w:rsidRDefault="00417D64">
      <w:pPr>
        <w:rPr>
          <w:rFonts w:ascii="Tahoma" w:hAnsi="Tahoma" w:cs="Tahoma"/>
          <w:sz w:val="22"/>
          <w:szCs w:val="22"/>
          <w:lang w:val="en-US"/>
        </w:rPr>
      </w:pPr>
      <w:r w:rsidRPr="00AB655A">
        <w:rPr>
          <w:rFonts w:ascii="Tahoma" w:hAnsi="Tahoma" w:cs="Tahoma"/>
          <w:sz w:val="22"/>
          <w:szCs w:val="22"/>
          <w:lang w:val="en-US"/>
        </w:rPr>
        <w:br w:type="page"/>
      </w:r>
    </w:p>
    <w:p w14:paraId="1292B986" w14:textId="77777777" w:rsidR="001908C2" w:rsidRPr="00AB655A" w:rsidRDefault="001908C2" w:rsidP="00DE20A3">
      <w:pPr>
        <w:pStyle w:val="ListParagraph"/>
        <w:rPr>
          <w:rFonts w:ascii="Tahoma" w:hAnsi="Tahoma" w:cs="Tahoma"/>
          <w:sz w:val="22"/>
          <w:szCs w:val="22"/>
          <w:lang w:val="en-US"/>
        </w:rPr>
      </w:pPr>
    </w:p>
    <w:tbl>
      <w:tblPr>
        <w:tblpPr w:leftFromText="141" w:rightFromText="141" w:vertAnchor="text" w:horzAnchor="margin" w:tblpXSpec="center" w:tblpY="5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114"/>
        <w:gridCol w:w="5380"/>
      </w:tblGrid>
      <w:tr w:rsidR="005D5A2B" w:rsidRPr="00AB655A" w14:paraId="3AD39528" w14:textId="77777777" w:rsidTr="00C06BC8">
        <w:tc>
          <w:tcPr>
            <w:tcW w:w="3114" w:type="dxa"/>
            <w:tcBorders>
              <w:top w:val="single" w:sz="4" w:space="0" w:color="BFBFBF"/>
              <w:left w:val="single" w:sz="4" w:space="0" w:color="BFBFBF"/>
              <w:bottom w:val="single" w:sz="4" w:space="0" w:color="BFBFBF"/>
              <w:right w:val="single" w:sz="4" w:space="0" w:color="BFBFBF"/>
            </w:tcBorders>
            <w:shd w:val="clear" w:color="auto" w:fill="EEECE1"/>
            <w:hideMark/>
          </w:tcPr>
          <w:p w14:paraId="6665643D" w14:textId="5BC6D1D4" w:rsidR="005D5A2B" w:rsidRPr="00AB655A" w:rsidRDefault="005D5A2B" w:rsidP="00165666">
            <w:pPr>
              <w:spacing w:after="0" w:line="240" w:lineRule="auto"/>
              <w:jc w:val="center"/>
              <w:rPr>
                <w:rFonts w:ascii="Calibri" w:eastAsia="Times New Roman" w:hAnsi="Calibri" w:cs="Times New Roman"/>
                <w:b/>
                <w:bCs/>
                <w:color w:val="17365D"/>
                <w:sz w:val="22"/>
                <w:szCs w:val="22"/>
                <w:lang w:val="en-US"/>
              </w:rPr>
            </w:pPr>
            <w:r w:rsidRPr="00AB655A">
              <w:rPr>
                <w:rFonts w:ascii="Calibri" w:eastAsia="Times New Roman" w:hAnsi="Calibri" w:cs="Times New Roman"/>
                <w:b/>
                <w:bCs/>
                <w:color w:val="17365D"/>
                <w:sz w:val="22"/>
                <w:szCs w:val="22"/>
                <w:lang w:val="en-US"/>
              </w:rPr>
              <w:br w:type="page"/>
            </w:r>
            <w:r w:rsidRPr="00AB655A">
              <w:rPr>
                <w:rFonts w:ascii="Calibri" w:eastAsia="Times New Roman" w:hAnsi="Calibri" w:cs="Times New Roman"/>
                <w:b/>
                <w:bCs/>
                <w:color w:val="17365D"/>
                <w:sz w:val="22"/>
                <w:szCs w:val="22"/>
                <w:lang w:val="en-US"/>
              </w:rPr>
              <w:br w:type="page"/>
            </w:r>
            <w:r w:rsidR="00165666" w:rsidRPr="00AB655A">
              <w:rPr>
                <w:rFonts w:ascii="Calibri" w:eastAsia="Times New Roman" w:hAnsi="Calibri" w:cs="Times New Roman"/>
                <w:b/>
                <w:bCs/>
                <w:color w:val="17365D"/>
                <w:sz w:val="22"/>
                <w:szCs w:val="22"/>
                <w:lang w:val="en-US"/>
              </w:rPr>
              <w:t>LINE OF ACTION</w:t>
            </w:r>
          </w:p>
        </w:tc>
        <w:tc>
          <w:tcPr>
            <w:tcW w:w="5380" w:type="dxa"/>
            <w:tcBorders>
              <w:top w:val="single" w:sz="4" w:space="0" w:color="BFBFBF"/>
              <w:left w:val="single" w:sz="4" w:space="0" w:color="BFBFBF"/>
              <w:bottom w:val="single" w:sz="4" w:space="0" w:color="BFBFBF"/>
              <w:right w:val="single" w:sz="4" w:space="0" w:color="BFBFBF"/>
            </w:tcBorders>
            <w:shd w:val="clear" w:color="auto" w:fill="EEECE1"/>
          </w:tcPr>
          <w:p w14:paraId="5AC37570" w14:textId="2E7F179E" w:rsidR="005D5A2B" w:rsidRPr="00AB655A" w:rsidRDefault="00165666" w:rsidP="005D5A2B">
            <w:pPr>
              <w:spacing w:after="0" w:line="240" w:lineRule="auto"/>
              <w:jc w:val="center"/>
              <w:rPr>
                <w:rFonts w:ascii="Calibri" w:eastAsia="Times New Roman" w:hAnsi="Calibri" w:cs="Times New Roman"/>
                <w:b/>
                <w:bCs/>
                <w:color w:val="17365D"/>
                <w:sz w:val="22"/>
                <w:szCs w:val="22"/>
                <w:lang w:val="en-US"/>
              </w:rPr>
            </w:pPr>
            <w:r w:rsidRPr="00AB655A">
              <w:rPr>
                <w:rFonts w:ascii="Calibri" w:eastAsia="Times New Roman" w:hAnsi="Calibri" w:cs="Times New Roman"/>
                <w:b/>
                <w:bCs/>
                <w:color w:val="17365D"/>
                <w:sz w:val="22"/>
                <w:szCs w:val="22"/>
                <w:lang w:val="en-US"/>
              </w:rPr>
              <w:t>STRATEGIC GENDER OBJECTIVES</w:t>
            </w:r>
          </w:p>
          <w:p w14:paraId="177D3E81" w14:textId="77777777" w:rsidR="005D5A2B" w:rsidRPr="00AB655A" w:rsidRDefault="005D5A2B" w:rsidP="005D5A2B">
            <w:pPr>
              <w:spacing w:after="0" w:line="240" w:lineRule="auto"/>
              <w:jc w:val="center"/>
              <w:rPr>
                <w:rFonts w:ascii="Calibri" w:eastAsia="Times New Roman" w:hAnsi="Calibri" w:cs="Times New Roman"/>
                <w:b/>
                <w:bCs/>
                <w:color w:val="17365D"/>
                <w:sz w:val="22"/>
                <w:szCs w:val="22"/>
                <w:lang w:val="en-US"/>
              </w:rPr>
            </w:pPr>
          </w:p>
        </w:tc>
      </w:tr>
      <w:tr w:rsidR="005D5A2B" w:rsidRPr="00ED097B" w14:paraId="3EDD134E" w14:textId="77777777" w:rsidTr="00C06BC8">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hideMark/>
          </w:tcPr>
          <w:p w14:paraId="620E0582" w14:textId="20F2F38F" w:rsidR="005D5A2B" w:rsidRPr="00AB655A" w:rsidRDefault="005032F0" w:rsidP="005D5A2B">
            <w:pPr>
              <w:spacing w:before="0" w:line="288" w:lineRule="auto"/>
              <w:rPr>
                <w:rFonts w:ascii="Calibri" w:eastAsia="Times New Roman" w:hAnsi="Calibri" w:cs="Times New Roman"/>
                <w:color w:val="17365D"/>
                <w:sz w:val="22"/>
                <w:szCs w:val="22"/>
                <w:lang w:val="en-US"/>
              </w:rPr>
            </w:pPr>
            <w:r>
              <w:rPr>
                <w:rFonts w:ascii="Calibri" w:eastAsia="Times New Roman" w:hAnsi="Calibri" w:cs="Times New Roman"/>
                <w:color w:val="17365D"/>
                <w:sz w:val="22"/>
                <w:szCs w:val="22"/>
                <w:lang w:val="en-US"/>
              </w:rPr>
              <w:t xml:space="preserve">1. </w:t>
            </w:r>
            <w:r w:rsidR="00165666" w:rsidRPr="00AB655A">
              <w:rPr>
                <w:rFonts w:ascii="Calibri" w:eastAsia="Times New Roman" w:hAnsi="Calibri" w:cs="Times New Roman"/>
                <w:color w:val="17365D"/>
                <w:sz w:val="22"/>
                <w:szCs w:val="22"/>
                <w:lang w:val="en-US"/>
              </w:rPr>
              <w:t>Strengthen the institutionalization and mainstreaming of a gender approach in the institution</w:t>
            </w:r>
          </w:p>
        </w:tc>
        <w:tc>
          <w:tcPr>
            <w:tcW w:w="5380" w:type="dxa"/>
            <w:tcBorders>
              <w:top w:val="single" w:sz="4" w:space="0" w:color="BFBFBF"/>
              <w:left w:val="single" w:sz="4" w:space="0" w:color="BFBFBF"/>
              <w:bottom w:val="single" w:sz="4" w:space="0" w:color="BFBFBF"/>
              <w:right w:val="single" w:sz="4" w:space="0" w:color="BFBFBF"/>
            </w:tcBorders>
            <w:shd w:val="clear" w:color="auto" w:fill="EEECE1"/>
            <w:hideMark/>
          </w:tcPr>
          <w:p w14:paraId="4EF62E3B" w14:textId="6024D515" w:rsidR="005D5A2B" w:rsidRPr="00AB655A" w:rsidRDefault="00165666" w:rsidP="00165666">
            <w:pPr>
              <w:pStyle w:val="ListParagraph"/>
              <w:numPr>
                <w:ilvl w:val="0"/>
                <w:numId w:val="15"/>
              </w:numPr>
              <w:spacing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Ensure that the institution’s organization</w:t>
            </w:r>
            <w:r w:rsidR="00B22AF3" w:rsidRPr="00AB655A">
              <w:rPr>
                <w:rFonts w:ascii="Calibri" w:eastAsia="Times New Roman" w:hAnsi="Calibri" w:cs="Times New Roman"/>
                <w:color w:val="17365D"/>
                <w:sz w:val="22"/>
                <w:szCs w:val="22"/>
                <w:lang w:val="en-US"/>
              </w:rPr>
              <w:t>al</w:t>
            </w:r>
            <w:r w:rsidRPr="00AB655A">
              <w:rPr>
                <w:rFonts w:ascii="Calibri" w:eastAsia="Times New Roman" w:hAnsi="Calibri" w:cs="Times New Roman"/>
                <w:color w:val="17365D"/>
                <w:sz w:val="22"/>
                <w:szCs w:val="22"/>
                <w:lang w:val="en-US"/>
              </w:rPr>
              <w:t xml:space="preserve"> structure includes a gender approach.</w:t>
            </w:r>
          </w:p>
          <w:p w14:paraId="55587DC0" w14:textId="74E58944" w:rsidR="005D5A2B" w:rsidRPr="00AB655A" w:rsidRDefault="00165666" w:rsidP="00165666">
            <w:pPr>
              <w:pStyle w:val="ListParagraph"/>
              <w:numPr>
                <w:ilvl w:val="0"/>
                <w:numId w:val="15"/>
              </w:numPr>
              <w:spacing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Strengthen the Specialized Gender Unit.</w:t>
            </w:r>
          </w:p>
        </w:tc>
      </w:tr>
      <w:tr w:rsidR="005D5A2B" w:rsidRPr="00ED097B" w14:paraId="010D2C6C" w14:textId="77777777" w:rsidTr="00C06BC8">
        <w:trPr>
          <w:trHeight w:val="905"/>
        </w:trPr>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hideMark/>
          </w:tcPr>
          <w:p w14:paraId="423A6809" w14:textId="44F7F969" w:rsidR="005D5A2B" w:rsidRPr="00AB655A" w:rsidRDefault="005032F0" w:rsidP="005D5A2B">
            <w:pPr>
              <w:spacing w:before="0" w:line="288" w:lineRule="auto"/>
              <w:rPr>
                <w:rFonts w:ascii="Calibri" w:eastAsia="Times New Roman" w:hAnsi="Calibri" w:cs="Times New Roman"/>
                <w:color w:val="17365D"/>
                <w:sz w:val="22"/>
                <w:szCs w:val="22"/>
                <w:lang w:val="en-US"/>
              </w:rPr>
            </w:pPr>
            <w:r>
              <w:rPr>
                <w:rFonts w:ascii="Calibri" w:eastAsia="Times New Roman" w:hAnsi="Calibri" w:cs="Times New Roman"/>
                <w:color w:val="17365D"/>
                <w:sz w:val="22"/>
                <w:szCs w:val="22"/>
                <w:lang w:val="en-US"/>
              </w:rPr>
              <w:t xml:space="preserve">2. </w:t>
            </w:r>
            <w:r w:rsidR="00165666" w:rsidRPr="00AB655A">
              <w:rPr>
                <w:rFonts w:ascii="Calibri" w:eastAsia="Times New Roman" w:hAnsi="Calibri" w:cs="Times New Roman"/>
                <w:color w:val="17365D"/>
                <w:sz w:val="22"/>
                <w:szCs w:val="22"/>
                <w:lang w:val="en-US"/>
              </w:rPr>
              <w:t>Mainstream a gender approach in policies, programs, and projects</w:t>
            </w:r>
          </w:p>
        </w:tc>
        <w:tc>
          <w:tcPr>
            <w:tcW w:w="5380" w:type="dxa"/>
            <w:tcBorders>
              <w:top w:val="single" w:sz="4" w:space="0" w:color="BFBFBF"/>
              <w:left w:val="single" w:sz="4" w:space="0" w:color="BFBFBF"/>
              <w:bottom w:val="single" w:sz="4" w:space="0" w:color="BFBFBF"/>
              <w:right w:val="single" w:sz="4" w:space="0" w:color="BFBFBF"/>
            </w:tcBorders>
            <w:shd w:val="clear" w:color="auto" w:fill="EEECE1"/>
            <w:hideMark/>
          </w:tcPr>
          <w:p w14:paraId="24CFE02E" w14:textId="75FA8F47" w:rsidR="00165666" w:rsidRPr="00AB655A" w:rsidRDefault="00165666" w:rsidP="00B41E54">
            <w:pPr>
              <w:pStyle w:val="ListParagraph"/>
              <w:numPr>
                <w:ilvl w:val="0"/>
                <w:numId w:val="15"/>
              </w:numPr>
              <w:spacing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 xml:space="preserve">Promote the inclusion of the gender approach across all stages </w:t>
            </w:r>
            <w:r w:rsidR="00FD2262" w:rsidRPr="00AB655A">
              <w:rPr>
                <w:rFonts w:ascii="Calibri" w:eastAsia="Times New Roman" w:hAnsi="Calibri" w:cs="Times New Roman"/>
                <w:color w:val="17365D"/>
                <w:sz w:val="22"/>
                <w:szCs w:val="22"/>
                <w:lang w:val="en-US"/>
              </w:rPr>
              <w:t>(design, planning, monitoring and evaluation)</w:t>
            </w:r>
            <w:r w:rsidR="00FD2262">
              <w:rPr>
                <w:rFonts w:ascii="Calibri" w:eastAsia="Times New Roman" w:hAnsi="Calibri" w:cs="Times New Roman"/>
                <w:color w:val="17365D"/>
                <w:sz w:val="22"/>
                <w:szCs w:val="22"/>
                <w:lang w:val="en-US"/>
              </w:rPr>
              <w:t xml:space="preserve"> </w:t>
            </w:r>
            <w:r w:rsidRPr="00AB655A">
              <w:rPr>
                <w:rFonts w:ascii="Calibri" w:eastAsia="Times New Roman" w:hAnsi="Calibri" w:cs="Times New Roman"/>
                <w:color w:val="17365D"/>
                <w:sz w:val="22"/>
                <w:szCs w:val="22"/>
                <w:lang w:val="en-US"/>
              </w:rPr>
              <w:t xml:space="preserve">of the policies, programs, actions, and guidelines of every unit in the institution. </w:t>
            </w:r>
          </w:p>
          <w:p w14:paraId="1B7560BE" w14:textId="52A98710" w:rsidR="005D5A2B" w:rsidRPr="00AB655A" w:rsidRDefault="000F1DEC" w:rsidP="00B22AF3">
            <w:pPr>
              <w:pStyle w:val="ListParagraph"/>
              <w:numPr>
                <w:ilvl w:val="0"/>
                <w:numId w:val="15"/>
              </w:numPr>
              <w:spacing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 xml:space="preserve">Ensure that </w:t>
            </w:r>
            <w:r w:rsidR="00B22AF3" w:rsidRPr="00AB655A">
              <w:rPr>
                <w:rFonts w:ascii="Calibri" w:eastAsia="Times New Roman" w:hAnsi="Calibri" w:cs="Times New Roman"/>
                <w:color w:val="17365D"/>
                <w:sz w:val="22"/>
                <w:szCs w:val="22"/>
                <w:lang w:val="en-US"/>
              </w:rPr>
              <w:t xml:space="preserve">sex-disaggregated </w:t>
            </w:r>
            <w:r w:rsidRPr="00AB655A">
              <w:rPr>
                <w:rFonts w:ascii="Calibri" w:eastAsia="Times New Roman" w:hAnsi="Calibri" w:cs="Times New Roman"/>
                <w:color w:val="17365D"/>
                <w:sz w:val="22"/>
                <w:szCs w:val="22"/>
                <w:lang w:val="en-US"/>
              </w:rPr>
              <w:t xml:space="preserve">sources and data regarding the labor </w:t>
            </w:r>
            <w:r w:rsidR="00B22AF3" w:rsidRPr="00AB655A">
              <w:rPr>
                <w:rFonts w:ascii="Calibri" w:eastAsia="Times New Roman" w:hAnsi="Calibri" w:cs="Times New Roman"/>
                <w:color w:val="17365D"/>
                <w:sz w:val="22"/>
                <w:szCs w:val="22"/>
                <w:lang w:val="en-US"/>
              </w:rPr>
              <w:t>sphere</w:t>
            </w:r>
            <w:r w:rsidRPr="00AB655A">
              <w:rPr>
                <w:rFonts w:ascii="Calibri" w:eastAsia="Times New Roman" w:hAnsi="Calibri" w:cs="Times New Roman"/>
                <w:color w:val="17365D"/>
                <w:sz w:val="22"/>
                <w:szCs w:val="22"/>
                <w:lang w:val="en-US"/>
              </w:rPr>
              <w:t xml:space="preserve"> are available. </w:t>
            </w:r>
          </w:p>
        </w:tc>
      </w:tr>
      <w:tr w:rsidR="005D5A2B" w:rsidRPr="00ED097B" w14:paraId="2255DB58" w14:textId="77777777" w:rsidTr="00C06BC8">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hideMark/>
          </w:tcPr>
          <w:p w14:paraId="716DE514" w14:textId="06422143" w:rsidR="005D5A2B" w:rsidRPr="00AB655A" w:rsidRDefault="005032F0" w:rsidP="005D5A2B">
            <w:pPr>
              <w:spacing w:before="0" w:line="288" w:lineRule="auto"/>
              <w:rPr>
                <w:rFonts w:ascii="Calibri" w:eastAsia="Times New Roman" w:hAnsi="Calibri" w:cs="Times New Roman"/>
                <w:color w:val="17365D"/>
                <w:sz w:val="22"/>
                <w:szCs w:val="22"/>
                <w:lang w:val="en-US"/>
              </w:rPr>
            </w:pPr>
            <w:r>
              <w:rPr>
                <w:rFonts w:ascii="Calibri" w:eastAsia="Times New Roman" w:hAnsi="Calibri" w:cs="Times New Roman"/>
                <w:color w:val="17365D"/>
                <w:sz w:val="22"/>
                <w:szCs w:val="22"/>
                <w:lang w:val="en-US"/>
              </w:rPr>
              <w:t xml:space="preserve">3. </w:t>
            </w:r>
            <w:r w:rsidR="00165666" w:rsidRPr="00AB655A">
              <w:rPr>
                <w:rFonts w:ascii="Calibri" w:eastAsia="Times New Roman" w:hAnsi="Calibri" w:cs="Times New Roman"/>
                <w:color w:val="17365D"/>
                <w:sz w:val="22"/>
                <w:szCs w:val="22"/>
                <w:lang w:val="en-US"/>
              </w:rPr>
              <w:t>Promote an institutional culture that aims for gender equality and equity</w:t>
            </w:r>
          </w:p>
        </w:tc>
        <w:tc>
          <w:tcPr>
            <w:tcW w:w="5380" w:type="dxa"/>
            <w:tcBorders>
              <w:top w:val="single" w:sz="4" w:space="0" w:color="BFBFBF"/>
              <w:left w:val="single" w:sz="4" w:space="0" w:color="BFBFBF"/>
              <w:bottom w:val="single" w:sz="4" w:space="0" w:color="BFBFBF"/>
              <w:right w:val="single" w:sz="4" w:space="0" w:color="BFBFBF"/>
            </w:tcBorders>
            <w:shd w:val="clear" w:color="auto" w:fill="EEECE1"/>
            <w:hideMark/>
          </w:tcPr>
          <w:p w14:paraId="2BBB52E9" w14:textId="5D9191DF" w:rsidR="000F1DEC" w:rsidRPr="00AB655A" w:rsidRDefault="000F1DEC" w:rsidP="00B41E54">
            <w:pPr>
              <w:pStyle w:val="ListParagraph"/>
              <w:numPr>
                <w:ilvl w:val="0"/>
                <w:numId w:val="15"/>
              </w:numPr>
              <w:spacing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Promote changes in the organizational culture that facilitate the incorporation of a gender equality approach in the entire institutional structure, thus including the gender approach in the management tools and internal processes.</w:t>
            </w:r>
          </w:p>
          <w:p w14:paraId="3495F72C" w14:textId="1484761E" w:rsidR="000F1DEC" w:rsidRPr="00AB655A" w:rsidRDefault="000F1DEC" w:rsidP="00B41E54">
            <w:pPr>
              <w:pStyle w:val="ListParagraph"/>
              <w:numPr>
                <w:ilvl w:val="0"/>
                <w:numId w:val="15"/>
              </w:numPr>
              <w:spacing w:before="0"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 xml:space="preserve">Implement measures that ensure </w:t>
            </w:r>
            <w:r w:rsidR="001310FF">
              <w:rPr>
                <w:rFonts w:ascii="Calibri" w:eastAsia="Times New Roman" w:hAnsi="Calibri" w:cs="Times New Roman"/>
                <w:color w:val="17365D"/>
                <w:sz w:val="22"/>
                <w:szCs w:val="22"/>
                <w:lang w:val="en-US"/>
              </w:rPr>
              <w:t>women’s inclusion</w:t>
            </w:r>
            <w:r w:rsidRPr="00AB655A">
              <w:rPr>
                <w:rFonts w:ascii="Calibri" w:eastAsia="Times New Roman" w:hAnsi="Calibri" w:cs="Times New Roman"/>
                <w:color w:val="17365D"/>
                <w:sz w:val="22"/>
                <w:szCs w:val="22"/>
                <w:lang w:val="en-US"/>
              </w:rPr>
              <w:t xml:space="preserve">—on equal terms—in the institution’s management and decision-making positions. </w:t>
            </w:r>
          </w:p>
          <w:p w14:paraId="59714910" w14:textId="6E643C09" w:rsidR="006B4A5C" w:rsidRPr="00AB655A" w:rsidRDefault="000F1DEC" w:rsidP="00B41E54">
            <w:pPr>
              <w:pStyle w:val="ListParagraph"/>
              <w:numPr>
                <w:ilvl w:val="0"/>
                <w:numId w:val="15"/>
              </w:numPr>
              <w:spacing w:before="0"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Promote measures to prevent</w:t>
            </w:r>
            <w:r w:rsidR="001310FF">
              <w:rPr>
                <w:rFonts w:ascii="Calibri" w:eastAsia="Times New Roman" w:hAnsi="Calibri" w:cs="Times New Roman"/>
                <w:color w:val="17365D"/>
                <w:sz w:val="22"/>
                <w:szCs w:val="22"/>
                <w:lang w:val="en-US"/>
              </w:rPr>
              <w:t>, address,</w:t>
            </w:r>
            <w:r w:rsidRPr="00AB655A">
              <w:rPr>
                <w:rFonts w:ascii="Calibri" w:eastAsia="Times New Roman" w:hAnsi="Calibri" w:cs="Times New Roman"/>
                <w:color w:val="17365D"/>
                <w:sz w:val="22"/>
                <w:szCs w:val="22"/>
                <w:lang w:val="en-US"/>
              </w:rPr>
              <w:t xml:space="preserve"> and sanction workplace and sexual harassment in the institution.</w:t>
            </w:r>
          </w:p>
          <w:p w14:paraId="2E7D91F9" w14:textId="34658B04" w:rsidR="005D5A2B" w:rsidRPr="00AB655A" w:rsidRDefault="000F1DEC" w:rsidP="000F1DEC">
            <w:pPr>
              <w:pStyle w:val="ListParagraph"/>
              <w:numPr>
                <w:ilvl w:val="0"/>
                <w:numId w:val="15"/>
              </w:numPr>
              <w:spacing w:before="0"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 xml:space="preserve">Promote the adoption of </w:t>
            </w:r>
            <w:r w:rsidR="006A1AF0" w:rsidRPr="00AB655A">
              <w:rPr>
                <w:rFonts w:ascii="Calibri" w:eastAsia="Times New Roman" w:hAnsi="Calibri" w:cs="Times New Roman"/>
                <w:color w:val="17365D"/>
                <w:sz w:val="22"/>
                <w:szCs w:val="22"/>
                <w:lang w:val="en-US"/>
              </w:rPr>
              <w:t>a</w:t>
            </w:r>
            <w:r w:rsidR="00785A9C">
              <w:rPr>
                <w:rFonts w:ascii="Calibri" w:eastAsia="Times New Roman" w:hAnsi="Calibri" w:cs="Times New Roman"/>
                <w:color w:val="17365D"/>
                <w:sz w:val="22"/>
                <w:szCs w:val="22"/>
                <w:lang w:val="en-US"/>
              </w:rPr>
              <w:t xml:space="preserve"> joint responsibility and</w:t>
            </w:r>
            <w:r w:rsidR="006A1AF0" w:rsidRPr="00AB655A">
              <w:rPr>
                <w:rFonts w:ascii="Calibri" w:eastAsia="Times New Roman" w:hAnsi="Calibri" w:cs="Times New Roman"/>
                <w:color w:val="17365D"/>
                <w:sz w:val="22"/>
                <w:szCs w:val="22"/>
                <w:lang w:val="en-US"/>
              </w:rPr>
              <w:t xml:space="preserve"> </w:t>
            </w:r>
            <w:r w:rsidRPr="00AB655A">
              <w:rPr>
                <w:rFonts w:ascii="Calibri" w:eastAsia="Times New Roman" w:hAnsi="Calibri" w:cs="Times New Roman"/>
                <w:color w:val="17365D"/>
                <w:sz w:val="22"/>
                <w:szCs w:val="22"/>
                <w:lang w:val="en-US"/>
              </w:rPr>
              <w:t>work-life balance policy.</w:t>
            </w:r>
          </w:p>
        </w:tc>
      </w:tr>
      <w:tr w:rsidR="005D5A2B" w:rsidRPr="00ED097B" w14:paraId="182A3351" w14:textId="77777777" w:rsidTr="00C06BC8">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hideMark/>
          </w:tcPr>
          <w:p w14:paraId="52CC894C" w14:textId="6EEEF160" w:rsidR="005D5A2B" w:rsidRPr="00AB655A" w:rsidRDefault="005032F0" w:rsidP="00165666">
            <w:pPr>
              <w:spacing w:before="0" w:line="288" w:lineRule="auto"/>
              <w:rPr>
                <w:rFonts w:ascii="Calibri" w:eastAsia="Times New Roman" w:hAnsi="Calibri" w:cs="Times New Roman"/>
                <w:color w:val="17365D"/>
                <w:sz w:val="22"/>
                <w:szCs w:val="22"/>
                <w:lang w:val="en-US"/>
              </w:rPr>
            </w:pPr>
            <w:r>
              <w:rPr>
                <w:rFonts w:ascii="Calibri" w:eastAsia="Times New Roman" w:hAnsi="Calibri" w:cs="Times New Roman"/>
                <w:color w:val="17365D"/>
                <w:sz w:val="22"/>
                <w:szCs w:val="22"/>
                <w:lang w:val="en-US"/>
              </w:rPr>
              <w:t xml:space="preserve">4. </w:t>
            </w:r>
            <w:r w:rsidR="00165666" w:rsidRPr="00AB655A">
              <w:rPr>
                <w:rFonts w:ascii="Calibri" w:eastAsia="Times New Roman" w:hAnsi="Calibri" w:cs="Times New Roman"/>
                <w:color w:val="17365D"/>
                <w:sz w:val="22"/>
                <w:szCs w:val="22"/>
                <w:lang w:val="en-US"/>
              </w:rPr>
              <w:t xml:space="preserve">Strengthen the skills of officials on gender </w:t>
            </w:r>
          </w:p>
        </w:tc>
        <w:tc>
          <w:tcPr>
            <w:tcW w:w="5380" w:type="dxa"/>
            <w:tcBorders>
              <w:top w:val="single" w:sz="4" w:space="0" w:color="BFBFBF"/>
              <w:left w:val="single" w:sz="4" w:space="0" w:color="BFBFBF"/>
              <w:bottom w:val="single" w:sz="4" w:space="0" w:color="BFBFBF"/>
              <w:right w:val="single" w:sz="4" w:space="0" w:color="BFBFBF"/>
            </w:tcBorders>
            <w:shd w:val="clear" w:color="auto" w:fill="EEECE1"/>
            <w:hideMark/>
          </w:tcPr>
          <w:p w14:paraId="40A4C8BA" w14:textId="2C0B343A" w:rsidR="000F1DEC" w:rsidRPr="00AB655A" w:rsidRDefault="004E71B6" w:rsidP="00B41E54">
            <w:pPr>
              <w:pStyle w:val="ListParagraph"/>
              <w:numPr>
                <w:ilvl w:val="0"/>
                <w:numId w:val="15"/>
              </w:numPr>
              <w:spacing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 xml:space="preserve">Strengthen the skills of staff on gender to consolidate the gender approach at work and in their daily </w:t>
            </w:r>
            <w:r w:rsidR="00B94107" w:rsidRPr="00AB655A">
              <w:rPr>
                <w:rFonts w:ascii="Calibri" w:eastAsia="Times New Roman" w:hAnsi="Calibri" w:cs="Times New Roman"/>
                <w:color w:val="17365D"/>
                <w:sz w:val="22"/>
                <w:szCs w:val="22"/>
                <w:lang w:val="en-US"/>
              </w:rPr>
              <w:t>life.</w:t>
            </w:r>
          </w:p>
          <w:p w14:paraId="477615AC" w14:textId="1773BE43" w:rsidR="005D5A2B" w:rsidRPr="00AB655A" w:rsidRDefault="00B94107" w:rsidP="00B94107">
            <w:pPr>
              <w:pStyle w:val="ListParagraph"/>
              <w:numPr>
                <w:ilvl w:val="0"/>
                <w:numId w:val="15"/>
              </w:numPr>
              <w:spacing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Strengthen the technical skills and abilities of the official</w:t>
            </w:r>
            <w:r w:rsidR="006A1AF0" w:rsidRPr="00AB655A">
              <w:rPr>
                <w:rFonts w:ascii="Calibri" w:eastAsia="Times New Roman" w:hAnsi="Calibri" w:cs="Times New Roman"/>
                <w:color w:val="17365D"/>
                <w:sz w:val="22"/>
                <w:szCs w:val="22"/>
                <w:lang w:val="en-US"/>
              </w:rPr>
              <w:t>s</w:t>
            </w:r>
            <w:r w:rsidRPr="00AB655A">
              <w:rPr>
                <w:rFonts w:ascii="Calibri" w:eastAsia="Times New Roman" w:hAnsi="Calibri" w:cs="Times New Roman"/>
                <w:color w:val="17365D"/>
                <w:sz w:val="22"/>
                <w:szCs w:val="22"/>
                <w:lang w:val="en-US"/>
              </w:rPr>
              <w:t xml:space="preserve"> to incorporate a gender approach in their work. </w:t>
            </w:r>
          </w:p>
        </w:tc>
      </w:tr>
      <w:tr w:rsidR="005D5A2B" w:rsidRPr="00ED097B" w14:paraId="24B3C44E" w14:textId="77777777" w:rsidTr="00C06BC8">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hideMark/>
          </w:tcPr>
          <w:p w14:paraId="25FF5703" w14:textId="23431956" w:rsidR="005D5A2B" w:rsidRPr="00AB655A" w:rsidRDefault="005032F0" w:rsidP="005D5A2B">
            <w:pPr>
              <w:spacing w:before="0" w:line="288" w:lineRule="auto"/>
              <w:jc w:val="both"/>
              <w:rPr>
                <w:rFonts w:ascii="Calibri" w:eastAsia="Times New Roman" w:hAnsi="Calibri" w:cs="Times New Roman"/>
                <w:color w:val="17365D"/>
                <w:sz w:val="22"/>
                <w:szCs w:val="22"/>
                <w:lang w:val="en-US"/>
              </w:rPr>
            </w:pPr>
            <w:r>
              <w:rPr>
                <w:rFonts w:ascii="Calibri" w:eastAsia="Times New Roman" w:hAnsi="Calibri" w:cs="Times New Roman"/>
                <w:color w:val="17365D"/>
                <w:sz w:val="22"/>
                <w:szCs w:val="22"/>
                <w:lang w:val="en-US"/>
              </w:rPr>
              <w:t xml:space="preserve">5. </w:t>
            </w:r>
            <w:r w:rsidR="00165666" w:rsidRPr="00AB655A">
              <w:rPr>
                <w:rFonts w:ascii="Calibri" w:eastAsia="Times New Roman" w:hAnsi="Calibri" w:cs="Times New Roman"/>
                <w:color w:val="17365D"/>
                <w:sz w:val="22"/>
                <w:szCs w:val="22"/>
                <w:lang w:val="en-US"/>
              </w:rPr>
              <w:t>Communication with a gender approach</w:t>
            </w:r>
          </w:p>
        </w:tc>
        <w:tc>
          <w:tcPr>
            <w:tcW w:w="5380" w:type="dxa"/>
            <w:tcBorders>
              <w:top w:val="single" w:sz="4" w:space="0" w:color="BFBFBF"/>
              <w:left w:val="single" w:sz="4" w:space="0" w:color="BFBFBF"/>
              <w:bottom w:val="single" w:sz="4" w:space="0" w:color="BFBFBF"/>
              <w:right w:val="single" w:sz="4" w:space="0" w:color="BFBFBF"/>
            </w:tcBorders>
            <w:shd w:val="clear" w:color="auto" w:fill="EEECE1"/>
            <w:hideMark/>
          </w:tcPr>
          <w:p w14:paraId="4FB9C47D" w14:textId="7175464D" w:rsidR="005D5A2B" w:rsidRPr="00AB655A" w:rsidRDefault="00B94107" w:rsidP="00B94107">
            <w:pPr>
              <w:pStyle w:val="ListParagraph"/>
              <w:numPr>
                <w:ilvl w:val="0"/>
                <w:numId w:val="15"/>
              </w:numPr>
              <w:spacing w:after="0" w:line="240" w:lineRule="auto"/>
              <w:ind w:left="452" w:hanging="410"/>
              <w:rPr>
                <w:rFonts w:ascii="Calibri" w:eastAsia="Times New Roman" w:hAnsi="Calibri" w:cs="Times New Roman"/>
                <w:color w:val="17365D"/>
                <w:sz w:val="22"/>
                <w:szCs w:val="22"/>
                <w:lang w:val="en-US"/>
              </w:rPr>
            </w:pPr>
            <w:r w:rsidRPr="00AB655A">
              <w:rPr>
                <w:rFonts w:ascii="Calibri" w:eastAsia="Times New Roman" w:hAnsi="Calibri" w:cs="Times New Roman"/>
                <w:color w:val="17365D"/>
                <w:sz w:val="22"/>
                <w:szCs w:val="22"/>
                <w:lang w:val="en-US"/>
              </w:rPr>
              <w:t>Include a gender approach in the institution’s internal and external communication strategy.</w:t>
            </w:r>
          </w:p>
        </w:tc>
      </w:tr>
    </w:tbl>
    <w:p w14:paraId="61318479" w14:textId="43B40A52" w:rsidR="005D5A2B" w:rsidRPr="00AB655A" w:rsidRDefault="005D5A2B" w:rsidP="00DE20A3">
      <w:pPr>
        <w:pStyle w:val="ListParagraph"/>
        <w:rPr>
          <w:rFonts w:ascii="Tahoma" w:hAnsi="Tahoma" w:cs="Tahoma"/>
          <w:sz w:val="22"/>
          <w:szCs w:val="22"/>
          <w:lang w:val="en-US"/>
        </w:rPr>
      </w:pPr>
    </w:p>
    <w:p w14:paraId="6CFCC8FF" w14:textId="66244823" w:rsidR="005D5A2B" w:rsidRPr="00AB655A" w:rsidRDefault="005D5A2B" w:rsidP="00DE20A3">
      <w:pPr>
        <w:pStyle w:val="ListParagraph"/>
        <w:rPr>
          <w:rFonts w:ascii="Tahoma" w:hAnsi="Tahoma" w:cs="Tahoma"/>
          <w:sz w:val="22"/>
          <w:szCs w:val="22"/>
          <w:lang w:val="en-US"/>
        </w:rPr>
      </w:pPr>
    </w:p>
    <w:p w14:paraId="18F04940" w14:textId="5536CA41" w:rsidR="001950E8" w:rsidRPr="00AB655A" w:rsidRDefault="001950E8" w:rsidP="00DE20A3">
      <w:pPr>
        <w:pStyle w:val="ListParagraph"/>
        <w:rPr>
          <w:rFonts w:ascii="Tahoma" w:hAnsi="Tahoma" w:cs="Tahoma"/>
          <w:sz w:val="22"/>
          <w:szCs w:val="22"/>
          <w:lang w:val="en-US"/>
        </w:rPr>
      </w:pPr>
    </w:p>
    <w:p w14:paraId="31FA0DAF" w14:textId="60EBC5E5" w:rsidR="001950E8" w:rsidRPr="00AB655A" w:rsidRDefault="001950E8" w:rsidP="00DE20A3">
      <w:pPr>
        <w:pStyle w:val="ListParagraph"/>
        <w:rPr>
          <w:rFonts w:ascii="Tahoma" w:hAnsi="Tahoma" w:cs="Tahoma"/>
          <w:sz w:val="22"/>
          <w:szCs w:val="22"/>
          <w:lang w:val="en-US"/>
        </w:rPr>
      </w:pPr>
    </w:p>
    <w:p w14:paraId="5013BB6E" w14:textId="200A519D" w:rsidR="001950E8" w:rsidRPr="00AB655A" w:rsidRDefault="001950E8" w:rsidP="00DE20A3">
      <w:pPr>
        <w:pStyle w:val="ListParagraph"/>
        <w:rPr>
          <w:rFonts w:ascii="Tahoma" w:hAnsi="Tahoma" w:cs="Tahoma"/>
          <w:sz w:val="22"/>
          <w:szCs w:val="22"/>
          <w:lang w:val="en-US"/>
        </w:rPr>
      </w:pPr>
    </w:p>
    <w:p w14:paraId="3B16DA34" w14:textId="77777777" w:rsidR="00B94107" w:rsidRPr="00AB655A" w:rsidRDefault="00B94107" w:rsidP="00DE20A3">
      <w:pPr>
        <w:pStyle w:val="ListParagraph"/>
        <w:rPr>
          <w:rFonts w:ascii="Tahoma" w:hAnsi="Tahoma" w:cs="Tahoma"/>
          <w:sz w:val="22"/>
          <w:szCs w:val="22"/>
          <w:lang w:val="en-US"/>
        </w:rPr>
      </w:pPr>
    </w:p>
    <w:p w14:paraId="76BDDBD2" w14:textId="77777777" w:rsidR="00B94107" w:rsidRPr="00AB655A" w:rsidRDefault="00B94107" w:rsidP="00DE20A3">
      <w:pPr>
        <w:pStyle w:val="ListParagraph"/>
        <w:rPr>
          <w:rFonts w:ascii="Tahoma" w:hAnsi="Tahoma" w:cs="Tahoma"/>
          <w:sz w:val="22"/>
          <w:szCs w:val="22"/>
          <w:lang w:val="en-US"/>
        </w:rPr>
      </w:pPr>
    </w:p>
    <w:p w14:paraId="3F9C2DFC" w14:textId="06181CA3" w:rsidR="0021183C" w:rsidRPr="00AB655A" w:rsidRDefault="00F53408" w:rsidP="001950E8">
      <w:pPr>
        <w:pStyle w:val="Heading1"/>
        <w:numPr>
          <w:ilvl w:val="0"/>
          <w:numId w:val="3"/>
        </w:numPr>
        <w:rPr>
          <w:lang w:val="en-US"/>
        </w:rPr>
      </w:pPr>
      <w:r w:rsidRPr="2425A842">
        <w:rPr>
          <w:rFonts w:ascii="Tahoma" w:hAnsi="Tahoma" w:cs="Tahoma"/>
          <w:lang w:val="en-US"/>
        </w:rPr>
        <w:br w:type="page"/>
      </w:r>
      <w:r w:rsidR="3B6FB1D5" w:rsidRPr="2425A842">
        <w:rPr>
          <w:lang w:val="en-US"/>
        </w:rPr>
        <w:lastRenderedPageBreak/>
        <w:t>PLAN OF ACTION OF A SPECIALIZED GENDER UNIT: A GUIDE</w:t>
      </w:r>
    </w:p>
    <w:p w14:paraId="4421A92C" w14:textId="0309B4F3" w:rsidR="0021183C" w:rsidRPr="00AB655A" w:rsidRDefault="0021183C" w:rsidP="00DE20A3">
      <w:pPr>
        <w:jc w:val="both"/>
        <w:rPr>
          <w:sz w:val="23"/>
          <w:szCs w:val="23"/>
          <w:lang w:val="en-US"/>
        </w:rPr>
      </w:pPr>
    </w:p>
    <w:p w14:paraId="664121A6" w14:textId="6F654E99" w:rsidR="001417DA" w:rsidRPr="00AB655A" w:rsidRDefault="001417DA" w:rsidP="0050454C">
      <w:pPr>
        <w:jc w:val="both"/>
        <w:rPr>
          <w:rFonts w:ascii="Tahoma" w:hAnsi="Tahoma" w:cs="Tahoma"/>
          <w:sz w:val="22"/>
          <w:szCs w:val="22"/>
          <w:lang w:val="en-US"/>
        </w:rPr>
      </w:pPr>
      <w:r w:rsidRPr="00AB655A">
        <w:rPr>
          <w:rFonts w:ascii="Tahoma" w:hAnsi="Tahoma" w:cs="Tahoma"/>
          <w:sz w:val="22"/>
          <w:szCs w:val="22"/>
          <w:lang w:val="en-US"/>
        </w:rPr>
        <w:t xml:space="preserve">Developing, implementing, and monitoring a Plan of Action are essential to achieve the strategic objectives formulated in the lines of action. The Plan is included in a matrix that incorporates the objectives, timeframes, responsible </w:t>
      </w:r>
      <w:r w:rsidR="006A1AF0" w:rsidRPr="00AB655A">
        <w:rPr>
          <w:rFonts w:ascii="Tahoma" w:hAnsi="Tahoma" w:cs="Tahoma"/>
          <w:sz w:val="22"/>
          <w:szCs w:val="22"/>
          <w:lang w:val="en-US"/>
        </w:rPr>
        <w:t>entities</w:t>
      </w:r>
      <w:r w:rsidRPr="00AB655A">
        <w:rPr>
          <w:rFonts w:ascii="Tahoma" w:hAnsi="Tahoma" w:cs="Tahoma"/>
          <w:sz w:val="22"/>
          <w:szCs w:val="22"/>
          <w:lang w:val="en-US"/>
        </w:rPr>
        <w:t xml:space="preserve">, necessary resources, indicators, and verification methods. </w:t>
      </w:r>
      <w:r w:rsidR="00864FEE" w:rsidRPr="00AB655A">
        <w:rPr>
          <w:rFonts w:ascii="Tahoma" w:hAnsi="Tahoma" w:cs="Tahoma"/>
          <w:sz w:val="22"/>
          <w:szCs w:val="22"/>
          <w:lang w:val="en-US"/>
        </w:rPr>
        <w:t>Its structure represents a permanent support to monitor the achievement of identified objectives.</w:t>
      </w:r>
    </w:p>
    <w:p w14:paraId="112423B3" w14:textId="2D4D27E6" w:rsidR="00FD6515" w:rsidRPr="00AB655A" w:rsidRDefault="00864FEE" w:rsidP="0050454C">
      <w:pPr>
        <w:jc w:val="both"/>
        <w:rPr>
          <w:rFonts w:ascii="Tahoma" w:hAnsi="Tahoma" w:cs="Tahoma"/>
          <w:sz w:val="22"/>
          <w:szCs w:val="22"/>
          <w:lang w:val="en-US"/>
        </w:rPr>
      </w:pPr>
      <w:r w:rsidRPr="00AB655A">
        <w:rPr>
          <w:rFonts w:ascii="Tahoma" w:hAnsi="Tahoma" w:cs="Tahoma"/>
          <w:sz w:val="22"/>
          <w:szCs w:val="22"/>
          <w:lang w:val="en-US"/>
        </w:rPr>
        <w:t>The objective of the Plan of Action is to provide a tool that facilitates and guides the monitoring of actions that lead to mainstreaming and institutionalizing a gender approach in the Ministries (Secretariat, Department, or others) based on the commitments undertaken by the stakeholders involved in their compliance. It also aims to guide institutional actions targeting this objective in an integrated ma</w:t>
      </w:r>
      <w:r w:rsidR="006A1AF0" w:rsidRPr="00AB655A">
        <w:rPr>
          <w:rFonts w:ascii="Tahoma" w:hAnsi="Tahoma" w:cs="Tahoma"/>
          <w:sz w:val="22"/>
          <w:szCs w:val="22"/>
          <w:lang w:val="en-US"/>
        </w:rPr>
        <w:t>nner and, at the same time, move</w:t>
      </w:r>
      <w:r w:rsidRPr="00AB655A">
        <w:rPr>
          <w:rFonts w:ascii="Tahoma" w:hAnsi="Tahoma" w:cs="Tahoma"/>
          <w:sz w:val="22"/>
          <w:szCs w:val="22"/>
          <w:lang w:val="en-US"/>
        </w:rPr>
        <w:t xml:space="preserve"> toward achieving the established strategic gender objectives. </w:t>
      </w:r>
    </w:p>
    <w:p w14:paraId="1A91E997" w14:textId="6A5A1A31" w:rsidR="00C26EBC" w:rsidRPr="00AB655A" w:rsidRDefault="58C4D4DC" w:rsidP="003B5EA8">
      <w:pPr>
        <w:jc w:val="both"/>
        <w:rPr>
          <w:rFonts w:ascii="Tahoma" w:hAnsi="Tahoma" w:cs="Tahoma"/>
          <w:sz w:val="22"/>
          <w:szCs w:val="22"/>
          <w:lang w:val="en-US"/>
        </w:rPr>
      </w:pPr>
      <w:r w:rsidRPr="00AB655A">
        <w:rPr>
          <w:rFonts w:ascii="Tahoma" w:hAnsi="Tahoma" w:cs="Tahoma"/>
          <w:sz w:val="22"/>
          <w:szCs w:val="22"/>
          <w:lang w:val="en-US"/>
        </w:rPr>
        <w:t>The Plan of Action to mainstream the gender approach in the Ministry of Labor (Secretariat, Department, or others) is the result of a participatory effort with the Specialized Gender Units involved in its fulfil</w:t>
      </w:r>
      <w:r w:rsidR="3252908F">
        <w:rPr>
          <w:rFonts w:ascii="Tahoma" w:hAnsi="Tahoma" w:cs="Tahoma"/>
          <w:sz w:val="22"/>
          <w:szCs w:val="22"/>
          <w:lang w:val="en-US"/>
        </w:rPr>
        <w:t>l</w:t>
      </w:r>
      <w:r w:rsidRPr="00AB655A">
        <w:rPr>
          <w:rFonts w:ascii="Tahoma" w:hAnsi="Tahoma" w:cs="Tahoma"/>
          <w:sz w:val="22"/>
          <w:szCs w:val="22"/>
          <w:lang w:val="en-US"/>
        </w:rPr>
        <w:t xml:space="preserve">ment. This gives the Plan legitimacy and recognition as a product that </w:t>
      </w:r>
      <w:r w:rsidR="27D2C718" w:rsidRPr="00AB655A">
        <w:rPr>
          <w:rFonts w:ascii="Tahoma" w:hAnsi="Tahoma" w:cs="Tahoma"/>
          <w:sz w:val="22"/>
          <w:szCs w:val="22"/>
          <w:lang w:val="en-US"/>
        </w:rPr>
        <w:t>includes</w:t>
      </w:r>
      <w:r w:rsidRPr="00AB655A">
        <w:rPr>
          <w:rFonts w:ascii="Tahoma" w:hAnsi="Tahoma" w:cs="Tahoma"/>
          <w:sz w:val="22"/>
          <w:szCs w:val="22"/>
          <w:lang w:val="en-US"/>
        </w:rPr>
        <w:t xml:space="preserve"> the participation of staff, allowing them to provide feedback and consent to the proposed actions. </w:t>
      </w:r>
      <w:proofErr w:type="gramStart"/>
      <w:r w:rsidRPr="00AB655A">
        <w:rPr>
          <w:rFonts w:ascii="Tahoma" w:hAnsi="Tahoma" w:cs="Tahoma"/>
          <w:sz w:val="22"/>
          <w:szCs w:val="22"/>
          <w:lang w:val="en-US"/>
        </w:rPr>
        <w:t>As long as</w:t>
      </w:r>
      <w:proofErr w:type="gramEnd"/>
      <w:r w:rsidRPr="00AB655A">
        <w:rPr>
          <w:rFonts w:ascii="Tahoma" w:hAnsi="Tahoma" w:cs="Tahoma"/>
          <w:sz w:val="22"/>
          <w:szCs w:val="22"/>
          <w:lang w:val="en-US"/>
        </w:rPr>
        <w:t xml:space="preserve"> </w:t>
      </w:r>
      <w:r w:rsidR="63343C36" w:rsidRPr="00AB655A">
        <w:rPr>
          <w:rFonts w:ascii="Tahoma" w:hAnsi="Tahoma" w:cs="Tahoma"/>
          <w:sz w:val="22"/>
          <w:szCs w:val="22"/>
          <w:lang w:val="en-US"/>
        </w:rPr>
        <w:t xml:space="preserve">the process includes the participation of representatives of all the sectors </w:t>
      </w:r>
      <w:r w:rsidR="63343C36" w:rsidRPr="00AB655A">
        <w:rPr>
          <w:rFonts w:ascii="Tahoma" w:hAnsi="Tahoma" w:cs="Tahoma"/>
          <w:sz w:val="22"/>
          <w:szCs w:val="22"/>
          <w:lang w:val="en-US"/>
        </w:rPr>
        <w:t xml:space="preserve">involved </w:t>
      </w:r>
      <w:r w:rsidR="63343C36" w:rsidRPr="00AB655A">
        <w:rPr>
          <w:rFonts w:ascii="Tahoma" w:hAnsi="Tahoma" w:cs="Tahoma"/>
          <w:sz w:val="22"/>
          <w:szCs w:val="22"/>
          <w:lang w:val="en-US"/>
        </w:rPr>
        <w:t>of the institution</w:t>
      </w:r>
      <w:r w:rsidR="63343C36" w:rsidRPr="00AB655A">
        <w:rPr>
          <w:rFonts w:ascii="Tahoma" w:hAnsi="Tahoma" w:cs="Tahoma"/>
          <w:sz w:val="22"/>
          <w:szCs w:val="22"/>
          <w:lang w:val="en-US"/>
        </w:rPr>
        <w:t>,</w:t>
      </w:r>
      <w:r w:rsidR="63343C36" w:rsidRPr="00AB655A">
        <w:rPr>
          <w:rFonts w:ascii="Tahoma" w:hAnsi="Tahoma" w:cs="Tahoma"/>
          <w:sz w:val="22"/>
          <w:szCs w:val="22"/>
          <w:lang w:val="en-US"/>
        </w:rPr>
        <w:t xml:space="preserve"> and </w:t>
      </w:r>
      <w:r w:rsidR="63343C36" w:rsidRPr="00AB655A">
        <w:rPr>
          <w:rFonts w:ascii="Tahoma" w:hAnsi="Tahoma" w:cs="Tahoma"/>
          <w:sz w:val="22"/>
          <w:szCs w:val="22"/>
          <w:lang w:val="en-US"/>
        </w:rPr>
        <w:t xml:space="preserve">the </w:t>
      </w:r>
      <w:r w:rsidR="63343C36" w:rsidRPr="00AB655A">
        <w:rPr>
          <w:rFonts w:ascii="Tahoma" w:hAnsi="Tahoma" w:cs="Tahoma"/>
          <w:sz w:val="22"/>
          <w:szCs w:val="22"/>
          <w:lang w:val="en-US"/>
        </w:rPr>
        <w:t xml:space="preserve">planning considers </w:t>
      </w:r>
      <w:r w:rsidR="63343C36" w:rsidRPr="00AB655A">
        <w:rPr>
          <w:rFonts w:ascii="Tahoma" w:hAnsi="Tahoma" w:cs="Tahoma"/>
          <w:sz w:val="22"/>
          <w:szCs w:val="22"/>
          <w:lang w:val="en-US"/>
        </w:rPr>
        <w:t>all</w:t>
      </w:r>
      <w:r w:rsidR="63343C36" w:rsidRPr="00AB655A">
        <w:rPr>
          <w:rFonts w:ascii="Tahoma" w:hAnsi="Tahoma" w:cs="Tahoma"/>
          <w:sz w:val="22"/>
          <w:szCs w:val="22"/>
          <w:lang w:val="en-US"/>
        </w:rPr>
        <w:t xml:space="preserve"> step</w:t>
      </w:r>
      <w:r w:rsidR="63343C36" w:rsidRPr="00AB655A">
        <w:rPr>
          <w:rFonts w:ascii="Tahoma" w:hAnsi="Tahoma" w:cs="Tahoma"/>
          <w:sz w:val="22"/>
          <w:szCs w:val="22"/>
          <w:lang w:val="en-US"/>
        </w:rPr>
        <w:t>s</w:t>
      </w:r>
      <w:r w:rsidR="63343C36" w:rsidRPr="00AB655A">
        <w:rPr>
          <w:rFonts w:ascii="Tahoma" w:hAnsi="Tahoma" w:cs="Tahoma"/>
          <w:sz w:val="22"/>
          <w:szCs w:val="22"/>
          <w:lang w:val="en-US"/>
        </w:rPr>
        <w:t xml:space="preserve">, resources, and activities, each stakeholder will </w:t>
      </w:r>
      <w:r w:rsidR="63343C36" w:rsidRPr="00AB655A">
        <w:rPr>
          <w:rFonts w:ascii="Tahoma" w:hAnsi="Tahoma" w:cs="Tahoma"/>
          <w:sz w:val="22"/>
          <w:szCs w:val="22"/>
          <w:lang w:val="en-US"/>
        </w:rPr>
        <w:t>be responsible</w:t>
      </w:r>
      <w:r w:rsidR="63343C36" w:rsidRPr="00AB655A">
        <w:rPr>
          <w:rFonts w:ascii="Tahoma" w:hAnsi="Tahoma" w:cs="Tahoma"/>
          <w:sz w:val="22"/>
          <w:szCs w:val="22"/>
          <w:lang w:val="en-US"/>
        </w:rPr>
        <w:t>—from their own area—</w:t>
      </w:r>
      <w:r w:rsidR="63343C36" w:rsidRPr="00AB655A">
        <w:rPr>
          <w:rFonts w:ascii="Tahoma" w:hAnsi="Tahoma" w:cs="Tahoma"/>
          <w:sz w:val="22"/>
          <w:szCs w:val="22"/>
          <w:lang w:val="en-US"/>
        </w:rPr>
        <w:t>for</w:t>
      </w:r>
      <w:r w:rsidR="63343C36" w:rsidRPr="00AB655A">
        <w:rPr>
          <w:rFonts w:ascii="Tahoma" w:hAnsi="Tahoma" w:cs="Tahoma"/>
          <w:sz w:val="22"/>
          <w:szCs w:val="22"/>
          <w:lang w:val="en-US"/>
        </w:rPr>
        <w:t xml:space="preserve"> the realization of the expected result. This also means that they take responsibility </w:t>
      </w:r>
      <w:r w:rsidR="63343C36" w:rsidRPr="00AB655A">
        <w:rPr>
          <w:rFonts w:ascii="Tahoma" w:hAnsi="Tahoma" w:cs="Tahoma"/>
          <w:sz w:val="22"/>
          <w:szCs w:val="22"/>
          <w:lang w:val="en-US"/>
        </w:rPr>
        <w:t>for</w:t>
      </w:r>
      <w:r w:rsidR="63343C36" w:rsidRPr="00AB655A">
        <w:rPr>
          <w:rFonts w:ascii="Tahoma" w:hAnsi="Tahoma" w:cs="Tahoma"/>
          <w:sz w:val="22"/>
          <w:szCs w:val="22"/>
          <w:lang w:val="en-US"/>
        </w:rPr>
        <w:t xml:space="preserve"> the problem and its solution.</w:t>
      </w:r>
      <w:r w:rsidR="003B5EA8" w:rsidRPr="00AB655A">
        <w:rPr>
          <w:rStyle w:val="FootnoteReference"/>
          <w:rFonts w:ascii="Tahoma" w:hAnsi="Tahoma" w:cs="Tahoma"/>
          <w:sz w:val="22"/>
          <w:szCs w:val="22"/>
          <w:lang w:val="en-US"/>
        </w:rPr>
        <w:footnoteReference w:id="16"/>
      </w:r>
    </w:p>
    <w:p w14:paraId="45F1F84F" w14:textId="1DABA9C9" w:rsidR="002F11C3" w:rsidRPr="00AB655A" w:rsidRDefault="018D7CA6" w:rsidP="00C50653">
      <w:pPr>
        <w:jc w:val="both"/>
        <w:rPr>
          <w:rFonts w:ascii="Tahoma" w:hAnsi="Tahoma" w:cs="Tahoma"/>
          <w:sz w:val="22"/>
          <w:szCs w:val="22"/>
          <w:lang w:val="en-US"/>
        </w:rPr>
      </w:pPr>
      <w:r w:rsidRPr="00AB655A">
        <w:rPr>
          <w:rFonts w:ascii="Tahoma" w:hAnsi="Tahoma" w:cs="Tahoma"/>
          <w:sz w:val="22"/>
          <w:szCs w:val="22"/>
          <w:lang w:val="en-US"/>
        </w:rPr>
        <w:t>Below</w:t>
      </w:r>
      <w:r w:rsidRPr="00AB655A">
        <w:rPr>
          <w:rFonts w:ascii="Tahoma" w:hAnsi="Tahoma" w:cs="Tahoma"/>
          <w:sz w:val="22"/>
          <w:szCs w:val="22"/>
          <w:lang w:val="en-US"/>
        </w:rPr>
        <w:t xml:space="preserve"> is</w:t>
      </w:r>
      <w:r w:rsidRPr="00AB655A">
        <w:rPr>
          <w:rFonts w:ascii="Tahoma" w:hAnsi="Tahoma" w:cs="Tahoma"/>
          <w:sz w:val="22"/>
          <w:szCs w:val="22"/>
          <w:lang w:val="en-US"/>
        </w:rPr>
        <w:t xml:space="preserve"> a matrix of a Plan of Action that serves as a guide for its development. This does not mean that the lines of action and objectives must be exactly as included in this example; every institution has its own characteristics, needs, and expectations. At the same time, the timeframes (short, m</w:t>
      </w:r>
      <w:r w:rsidR="2DB275F9" w:rsidRPr="00AB655A">
        <w:rPr>
          <w:rFonts w:ascii="Tahoma" w:hAnsi="Tahoma" w:cs="Tahoma"/>
          <w:sz w:val="22"/>
          <w:szCs w:val="22"/>
          <w:lang w:val="en-US"/>
        </w:rPr>
        <w:t>edium</w:t>
      </w:r>
      <w:r w:rsidRPr="00AB655A">
        <w:rPr>
          <w:rFonts w:ascii="Tahoma" w:hAnsi="Tahoma" w:cs="Tahoma"/>
          <w:sz w:val="22"/>
          <w:szCs w:val="22"/>
          <w:lang w:val="en-US"/>
        </w:rPr>
        <w:t>, and long-term) depend on each institution’s priorities and resources. However, this Plan bring</w:t>
      </w:r>
      <w:r w:rsidR="2DB275F9" w:rsidRPr="00AB655A">
        <w:rPr>
          <w:rFonts w:ascii="Tahoma" w:hAnsi="Tahoma" w:cs="Tahoma"/>
          <w:sz w:val="22"/>
          <w:szCs w:val="22"/>
          <w:lang w:val="en-US"/>
        </w:rPr>
        <w:t>s</w:t>
      </w:r>
      <w:r w:rsidRPr="00AB655A">
        <w:rPr>
          <w:rFonts w:ascii="Tahoma" w:hAnsi="Tahoma" w:cs="Tahoma"/>
          <w:sz w:val="22"/>
          <w:szCs w:val="22"/>
          <w:lang w:val="en-US"/>
        </w:rPr>
        <w:t xml:space="preserve"> together the lines, objectives, and activities proposed by the different Ministries of Labor where the Participatory Gender Audits took place.</w:t>
      </w:r>
      <w:r w:rsidR="00781E5A" w:rsidRPr="00AB655A">
        <w:rPr>
          <w:rStyle w:val="FootnoteReference"/>
          <w:rFonts w:ascii="Tahoma" w:hAnsi="Tahoma" w:cs="Tahoma"/>
          <w:sz w:val="22"/>
          <w:szCs w:val="22"/>
          <w:lang w:val="en-US"/>
        </w:rPr>
        <w:footnoteReference w:id="17"/>
      </w:r>
      <w:r w:rsidR="0CC1637E" w:rsidRPr="00AB655A">
        <w:rPr>
          <w:rFonts w:ascii="Tahoma" w:hAnsi="Tahoma" w:cs="Tahoma"/>
          <w:sz w:val="22"/>
          <w:szCs w:val="22"/>
          <w:lang w:val="en-US"/>
        </w:rPr>
        <w:t xml:space="preserve"> </w:t>
      </w:r>
    </w:p>
    <w:p w14:paraId="7FF79DC3" w14:textId="582DA6BB" w:rsidR="002F11C3" w:rsidRPr="00AB655A" w:rsidRDefault="002F11C3" w:rsidP="002F11C3">
      <w:pPr>
        <w:jc w:val="both"/>
        <w:rPr>
          <w:rFonts w:ascii="Tahoma" w:hAnsi="Tahoma" w:cs="Tahoma"/>
          <w:sz w:val="22"/>
          <w:szCs w:val="22"/>
          <w:lang w:val="en-US"/>
        </w:rPr>
        <w:sectPr w:rsidR="002F11C3" w:rsidRPr="00AB655A">
          <w:footerReference w:type="default" r:id="rId14"/>
          <w:pgSz w:w="11906" w:h="16838"/>
          <w:pgMar w:top="1417" w:right="1701" w:bottom="1417" w:left="1701" w:header="708" w:footer="708" w:gutter="0"/>
          <w:cols w:space="708"/>
          <w:docGrid w:linePitch="360"/>
        </w:sectPr>
      </w:pPr>
    </w:p>
    <w:tbl>
      <w:tblPr>
        <w:tblStyle w:val="GridTable4-Accent1"/>
        <w:tblW w:w="5029" w:type="pct"/>
        <w:tblLayout w:type="fixed"/>
        <w:tblLook w:val="00A0" w:firstRow="1" w:lastRow="0" w:firstColumn="1" w:lastColumn="0" w:noHBand="0" w:noVBand="0"/>
      </w:tblPr>
      <w:tblGrid>
        <w:gridCol w:w="1979"/>
        <w:gridCol w:w="2838"/>
        <w:gridCol w:w="1841"/>
        <w:gridCol w:w="1700"/>
        <w:gridCol w:w="1357"/>
        <w:gridCol w:w="2556"/>
        <w:gridCol w:w="1804"/>
      </w:tblGrid>
      <w:tr w:rsidR="0023632B" w:rsidRPr="00ED097B" w14:paraId="3F5187FC" w14:textId="77777777" w:rsidTr="005A23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Pr>
          <w:p w14:paraId="02603157" w14:textId="7C2B805F" w:rsidR="00970582" w:rsidRPr="00AB655A" w:rsidRDefault="0023632B" w:rsidP="00C50653">
            <w:pPr>
              <w:jc w:val="center"/>
              <w:rPr>
                <w:rFonts w:asciiTheme="majorHAnsi" w:eastAsia="MS Mincho" w:hAnsiTheme="majorHAnsi" w:cstheme="majorHAnsi"/>
                <w:b w:val="0"/>
                <w:bCs w:val="0"/>
                <w:color w:val="FFFFFF"/>
                <w:sz w:val="22"/>
                <w:szCs w:val="22"/>
                <w:lang w:val="en-US"/>
              </w:rPr>
            </w:pPr>
            <w:r w:rsidRPr="00AB655A">
              <w:rPr>
                <w:rFonts w:asciiTheme="majorHAnsi" w:hAnsiTheme="majorHAnsi" w:cstheme="majorHAnsi"/>
                <w:sz w:val="22"/>
                <w:szCs w:val="22"/>
                <w:lang w:val="en-US"/>
              </w:rPr>
              <w:lastRenderedPageBreak/>
              <w:br w:type="page"/>
            </w:r>
            <w:r w:rsidRPr="00AB655A">
              <w:rPr>
                <w:rFonts w:asciiTheme="majorHAnsi" w:eastAsia="MS Mincho" w:hAnsiTheme="majorHAnsi" w:cstheme="majorHAnsi"/>
                <w:color w:val="FFFFFF"/>
                <w:sz w:val="22"/>
                <w:szCs w:val="22"/>
                <w:lang w:val="en-US"/>
              </w:rPr>
              <w:br w:type="page"/>
            </w:r>
            <w:r w:rsidR="00C50653" w:rsidRPr="00AB655A">
              <w:rPr>
                <w:rFonts w:asciiTheme="majorHAnsi" w:eastAsia="MS Mincho" w:hAnsiTheme="majorHAnsi" w:cstheme="majorHAnsi"/>
                <w:sz w:val="28"/>
                <w:szCs w:val="28"/>
                <w:lang w:val="en-US"/>
              </w:rPr>
              <w:t>Line of action</w:t>
            </w:r>
            <w:r w:rsidR="005F1B48" w:rsidRPr="00AB655A">
              <w:rPr>
                <w:rFonts w:asciiTheme="majorHAnsi" w:eastAsia="MS Mincho" w:hAnsiTheme="majorHAnsi" w:cstheme="majorHAnsi"/>
                <w:sz w:val="28"/>
                <w:szCs w:val="28"/>
                <w:lang w:val="en-US"/>
              </w:rPr>
              <w:t xml:space="preserve"> 1: </w:t>
            </w:r>
            <w:r w:rsidR="00C50653" w:rsidRPr="00AB655A">
              <w:rPr>
                <w:rFonts w:asciiTheme="majorHAnsi" w:eastAsia="MS Mincho" w:hAnsiTheme="majorHAnsi" w:cstheme="majorHAnsi"/>
                <w:sz w:val="28"/>
                <w:szCs w:val="28"/>
                <w:lang w:val="en-US"/>
              </w:rPr>
              <w:t>Strengthen the institutionalization and mainstreaming of a gender approach in the institution</w:t>
            </w:r>
          </w:p>
        </w:tc>
      </w:tr>
      <w:tr w:rsidR="0010542F" w:rsidRPr="00AB655A" w14:paraId="08DAA0B7" w14:textId="77777777" w:rsidTr="005A23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3" w:type="pct"/>
            <w:shd w:val="clear" w:color="auto" w:fill="auto"/>
          </w:tcPr>
          <w:p w14:paraId="63C4A023" w14:textId="1D5BFBB3" w:rsidR="00615AB1" w:rsidRPr="00AB655A" w:rsidRDefault="00C50653" w:rsidP="00615AB1">
            <w:pPr>
              <w:jc w:val="center"/>
              <w:rPr>
                <w:rFonts w:asciiTheme="majorHAnsi" w:eastAsia="MS Mincho" w:hAnsiTheme="majorHAnsi" w:cstheme="majorHAnsi"/>
                <w:b w:val="0"/>
                <w:bCs w:val="0"/>
                <w:i/>
                <w:color w:val="auto"/>
                <w:sz w:val="22"/>
                <w:szCs w:val="22"/>
                <w:lang w:val="en-US"/>
              </w:rPr>
            </w:pPr>
            <w:r w:rsidRPr="00AB655A">
              <w:rPr>
                <w:rFonts w:asciiTheme="majorHAnsi" w:eastAsia="MS Mincho" w:hAnsiTheme="majorHAnsi" w:cstheme="majorHAnsi"/>
                <w:color w:val="auto"/>
                <w:sz w:val="22"/>
                <w:szCs w:val="22"/>
                <w:lang w:val="en-US"/>
              </w:rPr>
              <w:t>Strategic objective</w:t>
            </w:r>
          </w:p>
          <w:p w14:paraId="35DA9CED" w14:textId="45F40541" w:rsidR="0010542F" w:rsidRPr="00AB655A" w:rsidRDefault="0010542F" w:rsidP="0010542F">
            <w:pPr>
              <w:jc w:val="center"/>
              <w:rPr>
                <w:rFonts w:asciiTheme="majorHAnsi" w:eastAsia="MS Mincho" w:hAnsiTheme="majorHAnsi" w:cstheme="majorHAnsi"/>
                <w:b w:val="0"/>
                <w:bCs w:val="0"/>
                <w:color w:val="auto"/>
                <w:sz w:val="22"/>
                <w:szCs w:val="22"/>
                <w:lang w:val="en-US"/>
              </w:rPr>
            </w:pPr>
          </w:p>
        </w:tc>
        <w:tc>
          <w:tcPr>
            <w:cnfStyle w:val="000010000000" w:firstRow="0" w:lastRow="0" w:firstColumn="0" w:lastColumn="0" w:oddVBand="1" w:evenVBand="0" w:oddHBand="0" w:evenHBand="0" w:firstRowFirstColumn="0" w:firstRowLastColumn="0" w:lastRowFirstColumn="0" w:lastRowLastColumn="0"/>
            <w:tcW w:w="1008" w:type="pct"/>
            <w:shd w:val="clear" w:color="auto" w:fill="auto"/>
          </w:tcPr>
          <w:p w14:paraId="1EC2FA6E" w14:textId="114B8303" w:rsidR="0010542F" w:rsidRPr="00AB655A" w:rsidRDefault="00C50653" w:rsidP="0010542F">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Activities</w:t>
            </w:r>
          </w:p>
        </w:tc>
        <w:tc>
          <w:tcPr>
            <w:tcW w:w="654" w:type="pct"/>
            <w:shd w:val="clear" w:color="auto" w:fill="auto"/>
          </w:tcPr>
          <w:p w14:paraId="390E08A1" w14:textId="5C21F25F" w:rsidR="0010542F" w:rsidRPr="00AB655A" w:rsidRDefault="00C50653" w:rsidP="0010542F">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Entit</w:t>
            </w:r>
            <w:r w:rsidR="00090095">
              <w:rPr>
                <w:rFonts w:asciiTheme="majorHAnsi" w:eastAsia="MS Mincho" w:hAnsiTheme="majorHAnsi" w:cstheme="majorHAnsi"/>
                <w:color w:val="auto"/>
                <w:sz w:val="22"/>
                <w:szCs w:val="22"/>
                <w:lang w:val="en-US"/>
              </w:rPr>
              <w:t>ies</w:t>
            </w:r>
            <w:r w:rsidRPr="00AB655A">
              <w:rPr>
                <w:rFonts w:asciiTheme="majorHAnsi" w:eastAsia="MS Mincho" w:hAnsiTheme="majorHAnsi" w:cstheme="majorHAnsi"/>
                <w:color w:val="auto"/>
                <w:sz w:val="22"/>
                <w:szCs w:val="22"/>
                <w:lang w:val="en-US"/>
              </w:rPr>
              <w:t xml:space="preserve"> in charge and </w:t>
            </w:r>
            <w:r w:rsidR="00090095">
              <w:rPr>
                <w:rFonts w:asciiTheme="majorHAnsi" w:eastAsia="MS Mincho" w:hAnsiTheme="majorHAnsi" w:cstheme="majorHAnsi"/>
                <w:color w:val="auto"/>
                <w:sz w:val="22"/>
                <w:szCs w:val="22"/>
                <w:lang w:val="en-US"/>
              </w:rPr>
              <w:t>providing</w:t>
            </w:r>
            <w:r w:rsidR="005A235B">
              <w:rPr>
                <w:rFonts w:asciiTheme="majorHAnsi" w:eastAsia="MS Mincho" w:hAnsiTheme="majorHAnsi" w:cstheme="majorHAnsi"/>
                <w:color w:val="auto"/>
                <w:sz w:val="22"/>
                <w:szCs w:val="22"/>
                <w:lang w:val="en-US"/>
              </w:rPr>
              <w:t xml:space="preserve"> </w:t>
            </w:r>
            <w:r w:rsidRPr="00AB655A">
              <w:rPr>
                <w:rFonts w:asciiTheme="majorHAnsi" w:eastAsia="MS Mincho" w:hAnsiTheme="majorHAnsi" w:cstheme="majorHAnsi"/>
                <w:color w:val="auto"/>
                <w:sz w:val="22"/>
                <w:szCs w:val="22"/>
                <w:lang w:val="en-US"/>
              </w:rPr>
              <w:t>support</w:t>
            </w:r>
            <w:r w:rsidR="005A235B">
              <w:rPr>
                <w:rStyle w:val="FootnoteReference"/>
                <w:rFonts w:asciiTheme="majorHAnsi" w:eastAsia="MS Mincho" w:hAnsiTheme="majorHAnsi" w:cstheme="majorHAnsi"/>
                <w:color w:val="auto"/>
                <w:sz w:val="22"/>
                <w:szCs w:val="22"/>
                <w:lang w:val="en-US"/>
              </w:rPr>
              <w:footnoteReference w:id="18"/>
            </w:r>
          </w:p>
        </w:tc>
        <w:tc>
          <w:tcPr>
            <w:cnfStyle w:val="000010000000" w:firstRow="0" w:lastRow="0" w:firstColumn="0" w:lastColumn="0" w:oddVBand="1" w:evenVBand="0" w:oddHBand="0" w:evenHBand="0" w:firstRowFirstColumn="0" w:firstRowLastColumn="0" w:lastRowFirstColumn="0" w:lastRowLastColumn="0"/>
            <w:tcW w:w="604" w:type="pct"/>
            <w:shd w:val="clear" w:color="auto" w:fill="auto"/>
          </w:tcPr>
          <w:p w14:paraId="6A6DEAF1" w14:textId="308A6923" w:rsidR="0010542F" w:rsidRPr="00AB655A" w:rsidRDefault="00C50653" w:rsidP="0010542F">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Resources</w:t>
            </w:r>
          </w:p>
        </w:tc>
        <w:tc>
          <w:tcPr>
            <w:tcW w:w="482" w:type="pct"/>
            <w:shd w:val="clear" w:color="auto" w:fill="auto"/>
          </w:tcPr>
          <w:p w14:paraId="15DB1351" w14:textId="25432849" w:rsidR="0010542F" w:rsidRPr="00AB655A" w:rsidRDefault="00C50653" w:rsidP="0010542F">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Timeframe</w:t>
            </w:r>
            <w:r w:rsidR="00202FE0" w:rsidRPr="00AB655A">
              <w:rPr>
                <w:rStyle w:val="FootnoteReference"/>
                <w:rFonts w:asciiTheme="majorHAnsi" w:eastAsia="MS Mincho" w:hAnsiTheme="majorHAnsi" w:cstheme="majorHAnsi"/>
                <w:color w:val="auto"/>
                <w:sz w:val="22"/>
                <w:szCs w:val="22"/>
                <w:lang w:val="en-US"/>
              </w:rPr>
              <w:footnoteReference w:id="19"/>
            </w:r>
          </w:p>
        </w:tc>
        <w:tc>
          <w:tcPr>
            <w:cnfStyle w:val="000010000000" w:firstRow="0" w:lastRow="0" w:firstColumn="0" w:lastColumn="0" w:oddVBand="1" w:evenVBand="0" w:oddHBand="0" w:evenHBand="0" w:firstRowFirstColumn="0" w:firstRowLastColumn="0" w:lastRowFirstColumn="0" w:lastRowLastColumn="0"/>
            <w:tcW w:w="908" w:type="pct"/>
            <w:shd w:val="clear" w:color="auto" w:fill="auto"/>
          </w:tcPr>
          <w:p w14:paraId="1080D642" w14:textId="730C9064" w:rsidR="0010542F" w:rsidRPr="00AB655A" w:rsidRDefault="0010542F" w:rsidP="00C50653">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Indica</w:t>
            </w:r>
            <w:r w:rsidR="00C50653" w:rsidRPr="00AB655A">
              <w:rPr>
                <w:rFonts w:asciiTheme="majorHAnsi" w:eastAsia="MS Mincho" w:hAnsiTheme="majorHAnsi" w:cstheme="majorHAnsi"/>
                <w:color w:val="auto"/>
                <w:sz w:val="22"/>
                <w:szCs w:val="22"/>
                <w:lang w:val="en-US"/>
              </w:rPr>
              <w:t>tors</w:t>
            </w:r>
          </w:p>
        </w:tc>
        <w:tc>
          <w:tcPr>
            <w:tcW w:w="641" w:type="pct"/>
            <w:shd w:val="clear" w:color="auto" w:fill="auto"/>
          </w:tcPr>
          <w:p w14:paraId="39A84E8F" w14:textId="73C90A6E" w:rsidR="0010542F" w:rsidRPr="00AB655A" w:rsidRDefault="00C50653" w:rsidP="0010542F">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Verification methods</w:t>
            </w:r>
          </w:p>
        </w:tc>
      </w:tr>
      <w:tr w:rsidR="00615AB1" w:rsidRPr="00AB655A" w14:paraId="36749F46" w14:textId="77777777" w:rsidTr="005A235B">
        <w:trPr>
          <w:cnfStyle w:val="000000100000" w:firstRow="0" w:lastRow="0" w:firstColumn="0" w:lastColumn="0" w:oddVBand="0" w:evenVBand="0" w:oddHBand="1" w:evenHBand="0" w:firstRowFirstColumn="0" w:firstRowLastColumn="0" w:lastRowFirstColumn="0" w:lastRowLastColumn="0"/>
          <w:trHeight w:val="2983"/>
        </w:trPr>
        <w:tc>
          <w:tcPr>
            <w:cnfStyle w:val="001000000000" w:firstRow="0" w:lastRow="0" w:firstColumn="1" w:lastColumn="0" w:oddVBand="0" w:evenVBand="0" w:oddHBand="0" w:evenHBand="0" w:firstRowFirstColumn="0" w:firstRowLastColumn="0" w:lastRowFirstColumn="0" w:lastRowLastColumn="0"/>
            <w:tcW w:w="703" w:type="pct"/>
            <w:vMerge w:val="restart"/>
          </w:tcPr>
          <w:p w14:paraId="7D05E82D" w14:textId="1CAF90A4" w:rsidR="00B22AF3" w:rsidRPr="00AB655A" w:rsidRDefault="00B22AF3" w:rsidP="00B22AF3">
            <w:pPr>
              <w:pStyle w:val="ListParagraph"/>
              <w:numPr>
                <w:ilvl w:val="1"/>
                <w:numId w:val="10"/>
              </w:numPr>
              <w:rPr>
                <w:rFonts w:asciiTheme="majorHAnsi" w:eastAsia="MS Mincho" w:hAnsiTheme="majorHAnsi" w:cstheme="majorHAnsi"/>
                <w:sz w:val="22"/>
                <w:szCs w:val="22"/>
                <w:lang w:val="en-US"/>
              </w:rPr>
            </w:pPr>
            <w:r w:rsidRPr="00AB655A">
              <w:rPr>
                <w:rFonts w:asciiTheme="majorHAnsi" w:eastAsia="MS Mincho" w:hAnsiTheme="majorHAnsi" w:cstheme="majorHAnsi"/>
                <w:sz w:val="22"/>
                <w:szCs w:val="22"/>
                <w:lang w:val="en-US"/>
              </w:rPr>
              <w:t>Ensure that the institution’s organizational struc</w:t>
            </w:r>
            <w:r w:rsidR="00EE2CAD" w:rsidRPr="00AB655A">
              <w:rPr>
                <w:rFonts w:asciiTheme="majorHAnsi" w:eastAsia="MS Mincho" w:hAnsiTheme="majorHAnsi" w:cstheme="majorHAnsi"/>
                <w:sz w:val="22"/>
                <w:szCs w:val="22"/>
                <w:lang w:val="en-US"/>
              </w:rPr>
              <w:t>ture includes a gender approach</w:t>
            </w:r>
          </w:p>
          <w:p w14:paraId="46543B03" w14:textId="50AC4CAA" w:rsidR="00615AB1" w:rsidRPr="00AB655A" w:rsidRDefault="00615AB1" w:rsidP="00B22AF3">
            <w:pPr>
              <w:pStyle w:val="ListParagraph"/>
              <w:ind w:left="360"/>
              <w:rPr>
                <w:rFonts w:asciiTheme="majorHAnsi" w:eastAsia="MS Mincho" w:hAnsiTheme="majorHAnsi" w:cstheme="majorHAnsi"/>
                <w:b w:val="0"/>
                <w:bCs w:val="0"/>
                <w:sz w:val="22"/>
                <w:szCs w:val="22"/>
                <w:lang w:val="en-US"/>
              </w:rPr>
            </w:pPr>
          </w:p>
        </w:tc>
        <w:tc>
          <w:tcPr>
            <w:cnfStyle w:val="000010000000" w:firstRow="0" w:lastRow="0" w:firstColumn="0" w:lastColumn="0" w:oddVBand="1" w:evenVBand="0" w:oddHBand="0" w:evenHBand="0" w:firstRowFirstColumn="0" w:firstRowLastColumn="0" w:lastRowFirstColumn="0" w:lastRowLastColumn="0"/>
            <w:tcW w:w="1008" w:type="pct"/>
          </w:tcPr>
          <w:p w14:paraId="53D65874" w14:textId="4DF459E5" w:rsidR="00615AB1" w:rsidRPr="00AB655A" w:rsidRDefault="006644CD" w:rsidP="00F54711">
            <w:pPr>
              <w:rPr>
                <w:rFonts w:asciiTheme="majorHAnsi" w:eastAsia="MS Mincho" w:hAnsiTheme="majorHAnsi" w:cstheme="majorHAnsi"/>
                <w:lang w:val="en-US"/>
              </w:rPr>
            </w:pPr>
            <w:r w:rsidRPr="00AB655A">
              <w:rPr>
                <w:rFonts w:asciiTheme="majorHAnsi" w:eastAsia="MS Mincho" w:hAnsiTheme="majorHAnsi" w:cstheme="majorHAnsi"/>
                <w:bCs/>
                <w:lang w:val="en-US"/>
              </w:rPr>
              <w:t xml:space="preserve">1.1.1 </w:t>
            </w:r>
            <w:r w:rsidR="00F54711" w:rsidRPr="00AB655A">
              <w:rPr>
                <w:rFonts w:asciiTheme="majorHAnsi" w:eastAsia="MS Mincho" w:hAnsiTheme="majorHAnsi" w:cstheme="majorHAnsi"/>
                <w:bCs/>
                <w:lang w:val="en-US"/>
              </w:rPr>
              <w:t>Incorporate gender equity into the institution’s stated values.</w:t>
            </w:r>
          </w:p>
        </w:tc>
        <w:tc>
          <w:tcPr>
            <w:tcW w:w="654" w:type="pct"/>
          </w:tcPr>
          <w:p w14:paraId="32297EE8" w14:textId="01FE4A47" w:rsidR="00F54711" w:rsidRPr="00AB655A" w:rsidRDefault="00F54711"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Executive Department </w:t>
            </w:r>
            <w:r w:rsidR="005B4778" w:rsidRPr="00AB655A">
              <w:rPr>
                <w:rFonts w:asciiTheme="majorHAnsi" w:eastAsia="MS Mincho" w:hAnsiTheme="majorHAnsi" w:cstheme="majorHAnsi"/>
                <w:lang w:val="en-US"/>
              </w:rPr>
              <w:t>and offices</w:t>
            </w:r>
          </w:p>
          <w:p w14:paraId="73F81E1D" w14:textId="6AF6A865" w:rsidR="00615AB1" w:rsidRPr="00AB655A" w:rsidRDefault="005B4778"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Every </w:t>
            </w:r>
            <w:r w:rsidR="005B71DC" w:rsidRPr="00AB655A">
              <w:rPr>
                <w:rFonts w:asciiTheme="majorHAnsi" w:eastAsia="MS Mincho" w:hAnsiTheme="majorHAnsi" w:cstheme="majorHAnsi"/>
                <w:lang w:val="en-US"/>
              </w:rPr>
              <w:t>department</w:t>
            </w:r>
            <w:r w:rsidRPr="00AB655A">
              <w:rPr>
                <w:rFonts w:asciiTheme="majorHAnsi" w:eastAsia="MS Mincho" w:hAnsiTheme="majorHAnsi" w:cstheme="majorHAnsi"/>
                <w:lang w:val="en-US"/>
              </w:rPr>
              <w:t>, advisory units, and consultative bodies</w:t>
            </w:r>
          </w:p>
          <w:p w14:paraId="610C3600" w14:textId="79817CDD" w:rsidR="00615AB1" w:rsidRPr="00AB655A" w:rsidRDefault="005B4778" w:rsidP="005B4778">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04" w:type="pct"/>
          </w:tcPr>
          <w:p w14:paraId="5B7BD6FF" w14:textId="7F5954CE" w:rsidR="00615AB1" w:rsidRPr="00AB655A" w:rsidRDefault="005B4778"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Political will</w:t>
            </w:r>
          </w:p>
        </w:tc>
        <w:tc>
          <w:tcPr>
            <w:tcW w:w="482" w:type="pct"/>
          </w:tcPr>
          <w:p w14:paraId="38F3CCFA" w14:textId="78859333" w:rsidR="00615AB1" w:rsidRPr="00AB655A" w:rsidRDefault="005B4778" w:rsidP="0010542F">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Short</w:t>
            </w:r>
          </w:p>
        </w:tc>
        <w:tc>
          <w:tcPr>
            <w:cnfStyle w:val="000010000000" w:firstRow="0" w:lastRow="0" w:firstColumn="0" w:lastColumn="0" w:oddVBand="1" w:evenVBand="0" w:oddHBand="0" w:evenHBand="0" w:firstRowFirstColumn="0" w:firstRowLastColumn="0" w:lastRowFirstColumn="0" w:lastRowLastColumn="0"/>
            <w:tcW w:w="908" w:type="pct"/>
          </w:tcPr>
          <w:p w14:paraId="2F2502CB" w14:textId="2F3489B7" w:rsidR="005B4778" w:rsidRPr="00AB655A" w:rsidRDefault="005B4778" w:rsidP="005B4778">
            <w:pPr>
              <w:rPr>
                <w:rFonts w:asciiTheme="majorHAnsi" w:eastAsia="MS Mincho" w:hAnsiTheme="majorHAnsi" w:cstheme="majorHAnsi"/>
                <w:lang w:val="en-US"/>
              </w:rPr>
            </w:pPr>
            <w:r w:rsidRPr="00AB655A">
              <w:rPr>
                <w:rFonts w:asciiTheme="majorHAnsi" w:eastAsia="MS Mincho" w:hAnsiTheme="majorHAnsi" w:cstheme="majorHAnsi"/>
                <w:lang w:val="en-US"/>
              </w:rPr>
              <w:t xml:space="preserve">Gender equality has been included as one of the institution’s values in the Mission and Vision. </w:t>
            </w:r>
          </w:p>
        </w:tc>
        <w:tc>
          <w:tcPr>
            <w:tcW w:w="641" w:type="pct"/>
          </w:tcPr>
          <w:p w14:paraId="7D3344C0" w14:textId="07041AC1" w:rsidR="005B4778" w:rsidRPr="00AB655A" w:rsidRDefault="005B4778"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Institutional web page</w:t>
            </w:r>
          </w:p>
          <w:p w14:paraId="7A1FF72C" w14:textId="50BC66D7" w:rsidR="00615AB1" w:rsidRPr="00AB655A" w:rsidRDefault="005B4778"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Institutional Strategic Plan</w:t>
            </w:r>
            <w:r w:rsidR="00615AB1" w:rsidRPr="00AB655A">
              <w:rPr>
                <w:rFonts w:asciiTheme="majorHAnsi" w:eastAsia="MS Mincho" w:hAnsiTheme="majorHAnsi" w:cstheme="majorHAnsi"/>
                <w:lang w:val="en-US"/>
              </w:rPr>
              <w:t xml:space="preserve"> </w:t>
            </w:r>
          </w:p>
          <w:p w14:paraId="39E8E3B6" w14:textId="4D7301AF" w:rsidR="00615AB1" w:rsidRPr="00AB655A" w:rsidRDefault="005B4778"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Annual Operational Plans</w:t>
            </w:r>
          </w:p>
        </w:tc>
      </w:tr>
      <w:tr w:rsidR="00615AB1" w:rsidRPr="00ED097B" w14:paraId="6CB54F5C" w14:textId="77777777" w:rsidTr="005A235B">
        <w:trPr>
          <w:trHeight w:val="2544"/>
        </w:trPr>
        <w:tc>
          <w:tcPr>
            <w:cnfStyle w:val="001000000000" w:firstRow="0" w:lastRow="0" w:firstColumn="1" w:lastColumn="0" w:oddVBand="0" w:evenVBand="0" w:oddHBand="0" w:evenHBand="0" w:firstRowFirstColumn="0" w:firstRowLastColumn="0" w:lastRowFirstColumn="0" w:lastRowLastColumn="0"/>
            <w:tcW w:w="703" w:type="pct"/>
            <w:vMerge/>
          </w:tcPr>
          <w:p w14:paraId="4C422B13" w14:textId="19B016B7" w:rsidR="00615AB1" w:rsidRPr="00AB655A" w:rsidRDefault="00615AB1" w:rsidP="00615AB1">
            <w:pPr>
              <w:pStyle w:val="ListParagraph"/>
              <w:ind w:left="314"/>
              <w:rPr>
                <w:rFonts w:asciiTheme="majorHAnsi" w:eastAsia="MS Mincho" w:hAnsiTheme="majorHAnsi" w:cstheme="majorHAnsi"/>
                <w:b w:val="0"/>
                <w:bCs w:val="0"/>
                <w:sz w:val="22"/>
                <w:szCs w:val="22"/>
                <w:lang w:val="en-US"/>
              </w:rPr>
            </w:pPr>
          </w:p>
        </w:tc>
        <w:tc>
          <w:tcPr>
            <w:cnfStyle w:val="000010000000" w:firstRow="0" w:lastRow="0" w:firstColumn="0" w:lastColumn="0" w:oddVBand="1" w:evenVBand="0" w:oddHBand="0" w:evenHBand="0" w:firstRowFirstColumn="0" w:firstRowLastColumn="0" w:lastRowFirstColumn="0" w:lastRowLastColumn="0"/>
            <w:tcW w:w="1008" w:type="pct"/>
          </w:tcPr>
          <w:p w14:paraId="148585FB" w14:textId="1DA95EF2" w:rsidR="005B4778" w:rsidRPr="00AB655A" w:rsidRDefault="006644CD" w:rsidP="005B4778">
            <w:pPr>
              <w:rPr>
                <w:rFonts w:asciiTheme="majorHAnsi" w:eastAsia="MS Mincho" w:hAnsiTheme="majorHAnsi" w:cstheme="majorHAnsi"/>
                <w:lang w:val="en-US"/>
              </w:rPr>
            </w:pPr>
            <w:r w:rsidRPr="00AB655A">
              <w:rPr>
                <w:rFonts w:asciiTheme="majorHAnsi" w:eastAsia="MS Mincho" w:hAnsiTheme="majorHAnsi" w:cstheme="majorHAnsi"/>
                <w:bCs/>
                <w:lang w:val="en-US"/>
              </w:rPr>
              <w:t xml:space="preserve">1.1.2 </w:t>
            </w:r>
            <w:r w:rsidR="005B4778" w:rsidRPr="00AB655A">
              <w:rPr>
                <w:rFonts w:asciiTheme="majorHAnsi" w:eastAsia="MS Mincho" w:hAnsiTheme="majorHAnsi" w:cstheme="majorHAnsi"/>
                <w:bCs/>
                <w:lang w:val="en-US"/>
              </w:rPr>
              <w:t>Establish an institutional Gender Committee (commission, board, or another) that in</w:t>
            </w:r>
            <w:r w:rsidR="00B9344D" w:rsidRPr="00AB655A">
              <w:rPr>
                <w:rFonts w:asciiTheme="majorHAnsi" w:eastAsia="MS Mincho" w:hAnsiTheme="majorHAnsi" w:cstheme="majorHAnsi"/>
                <w:bCs/>
                <w:lang w:val="en-US"/>
              </w:rPr>
              <w:t>cludes a focal point from each d</w:t>
            </w:r>
            <w:r w:rsidR="005B4778" w:rsidRPr="00AB655A">
              <w:rPr>
                <w:rFonts w:asciiTheme="majorHAnsi" w:eastAsia="MS Mincho" w:hAnsiTheme="majorHAnsi" w:cstheme="majorHAnsi"/>
                <w:bCs/>
                <w:lang w:val="en-US"/>
              </w:rPr>
              <w:t>epartment and advisory unit, coordinated by the Specialized Gender Unit.</w:t>
            </w:r>
          </w:p>
        </w:tc>
        <w:tc>
          <w:tcPr>
            <w:tcW w:w="654" w:type="pct"/>
          </w:tcPr>
          <w:p w14:paraId="313D500F" w14:textId="77777777" w:rsidR="005B4778" w:rsidRPr="00AB655A" w:rsidRDefault="005B4778" w:rsidP="005B4778">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Executive Department and offices</w:t>
            </w:r>
          </w:p>
          <w:p w14:paraId="494A3B64" w14:textId="05C3B0FF" w:rsidR="005B4778" w:rsidRPr="00AB655A" w:rsidRDefault="005B4778" w:rsidP="005B4778">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Every </w:t>
            </w:r>
            <w:r w:rsidR="005B71DC" w:rsidRPr="00AB655A">
              <w:rPr>
                <w:rFonts w:asciiTheme="majorHAnsi" w:eastAsia="MS Mincho" w:hAnsiTheme="majorHAnsi" w:cstheme="majorHAnsi"/>
                <w:lang w:val="en-US"/>
              </w:rPr>
              <w:t>department</w:t>
            </w:r>
            <w:r w:rsidRPr="00AB655A">
              <w:rPr>
                <w:rFonts w:asciiTheme="majorHAnsi" w:eastAsia="MS Mincho" w:hAnsiTheme="majorHAnsi" w:cstheme="majorHAnsi"/>
                <w:lang w:val="en-US"/>
              </w:rPr>
              <w:t>, advisory units, and consultative bodies</w:t>
            </w:r>
          </w:p>
          <w:p w14:paraId="6171AC13" w14:textId="24361F99" w:rsidR="00615AB1" w:rsidRPr="00AB655A" w:rsidRDefault="005B4778"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04" w:type="pct"/>
          </w:tcPr>
          <w:p w14:paraId="06B8BE5F" w14:textId="7F7DEC18" w:rsidR="00615AB1" w:rsidRPr="00AB655A" w:rsidRDefault="005B4778"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Political will</w:t>
            </w:r>
          </w:p>
        </w:tc>
        <w:tc>
          <w:tcPr>
            <w:tcW w:w="482" w:type="pct"/>
          </w:tcPr>
          <w:p w14:paraId="611938F6" w14:textId="3A63A4A2" w:rsidR="00615AB1" w:rsidRPr="00AB655A" w:rsidRDefault="005B4778" w:rsidP="005B4778">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Short</w:t>
            </w:r>
            <w:r w:rsidR="00615AB1" w:rsidRPr="00AB655A">
              <w:rPr>
                <w:rFonts w:asciiTheme="majorHAnsi" w:eastAsia="MS Mincho" w:hAnsiTheme="majorHAnsi" w:cstheme="majorHAnsi"/>
                <w:lang w:val="en-US"/>
              </w:rPr>
              <w:t xml:space="preserve"> </w:t>
            </w:r>
          </w:p>
        </w:tc>
        <w:tc>
          <w:tcPr>
            <w:cnfStyle w:val="000010000000" w:firstRow="0" w:lastRow="0" w:firstColumn="0" w:lastColumn="0" w:oddVBand="1" w:evenVBand="0" w:oddHBand="0" w:evenHBand="0" w:firstRowFirstColumn="0" w:firstRowLastColumn="0" w:lastRowFirstColumn="0" w:lastRowLastColumn="0"/>
            <w:tcW w:w="908" w:type="pct"/>
          </w:tcPr>
          <w:p w14:paraId="1FAB0E9C" w14:textId="715D2E14" w:rsidR="00615AB1" w:rsidRPr="00AB655A" w:rsidRDefault="005B4778" w:rsidP="0010542F">
            <w:pPr>
              <w:rPr>
                <w:rFonts w:asciiTheme="majorHAnsi" w:eastAsia="MS Mincho" w:hAnsiTheme="majorHAnsi" w:cstheme="majorHAnsi"/>
                <w:lang w:val="en-US"/>
              </w:rPr>
            </w:pPr>
            <w:r w:rsidRPr="00AB655A">
              <w:rPr>
                <w:rFonts w:asciiTheme="majorHAnsi" w:eastAsia="MS Mincho" w:hAnsiTheme="majorHAnsi" w:cstheme="majorHAnsi"/>
                <w:lang w:val="en-US"/>
              </w:rPr>
              <w:t xml:space="preserve">The institutional Gender Committee (commission, board, or another) has been created </w:t>
            </w:r>
            <w:proofErr w:type="gramStart"/>
            <w:r w:rsidRPr="00AB655A">
              <w:rPr>
                <w:rFonts w:asciiTheme="majorHAnsi" w:eastAsia="MS Mincho" w:hAnsiTheme="majorHAnsi" w:cstheme="majorHAnsi"/>
                <w:lang w:val="en-US"/>
              </w:rPr>
              <w:t>as a result of</w:t>
            </w:r>
            <w:proofErr w:type="gramEnd"/>
            <w:r w:rsidRPr="00AB655A">
              <w:rPr>
                <w:rFonts w:asciiTheme="majorHAnsi" w:eastAsia="MS Mincho" w:hAnsiTheme="majorHAnsi" w:cstheme="majorHAnsi"/>
                <w:lang w:val="en-US"/>
              </w:rPr>
              <w:t xml:space="preserve"> an administrative decision.</w:t>
            </w:r>
          </w:p>
        </w:tc>
        <w:tc>
          <w:tcPr>
            <w:tcW w:w="641" w:type="pct"/>
          </w:tcPr>
          <w:p w14:paraId="005C36F7" w14:textId="61F05916" w:rsidR="005B4778" w:rsidRPr="00AB655A" w:rsidRDefault="005B4778" w:rsidP="0010542F">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lang w:val="en-US"/>
              </w:rPr>
            </w:pPr>
            <w:r w:rsidRPr="00AB655A">
              <w:rPr>
                <w:rFonts w:asciiTheme="majorHAnsi" w:eastAsia="MS Mincho" w:hAnsiTheme="majorHAnsi" w:cstheme="majorHAnsi"/>
                <w:lang w:val="en-US"/>
              </w:rPr>
              <w:t>Administrative decision with the creation of the institutional Gender Committee</w:t>
            </w:r>
          </w:p>
        </w:tc>
      </w:tr>
      <w:tr w:rsidR="00615AB1" w:rsidRPr="00ED097B" w14:paraId="119D6F23" w14:textId="77777777" w:rsidTr="005A235B">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3" w:type="pct"/>
            <w:vMerge w:val="restart"/>
          </w:tcPr>
          <w:p w14:paraId="5C925D00" w14:textId="4A9B05CB" w:rsidR="00615AB1" w:rsidRPr="00AB655A" w:rsidRDefault="00B22AF3" w:rsidP="00B22AF3">
            <w:pPr>
              <w:pStyle w:val="ListParagraph"/>
              <w:numPr>
                <w:ilvl w:val="1"/>
                <w:numId w:val="10"/>
              </w:numPr>
              <w:rPr>
                <w:rFonts w:asciiTheme="majorHAnsi" w:eastAsia="Calibri" w:hAnsiTheme="majorHAnsi" w:cstheme="majorHAnsi"/>
                <w:bCs w:val="0"/>
                <w:sz w:val="22"/>
                <w:szCs w:val="22"/>
                <w:lang w:val="en-US"/>
              </w:rPr>
            </w:pPr>
            <w:r w:rsidRPr="00AB655A">
              <w:rPr>
                <w:rFonts w:asciiTheme="majorHAnsi" w:eastAsia="Calibri" w:hAnsiTheme="majorHAnsi" w:cstheme="majorHAnsi"/>
                <w:sz w:val="22"/>
                <w:szCs w:val="22"/>
                <w:lang w:val="en-US"/>
              </w:rPr>
              <w:t>Strengthen the Specialized Gender Unit</w:t>
            </w:r>
          </w:p>
        </w:tc>
        <w:tc>
          <w:tcPr>
            <w:cnfStyle w:val="000010000000" w:firstRow="0" w:lastRow="0" w:firstColumn="0" w:lastColumn="0" w:oddVBand="1" w:evenVBand="0" w:oddHBand="0" w:evenHBand="0" w:firstRowFirstColumn="0" w:firstRowLastColumn="0" w:lastRowFirstColumn="0" w:lastRowLastColumn="0"/>
            <w:tcW w:w="1008" w:type="pct"/>
          </w:tcPr>
          <w:p w14:paraId="7606A2B0" w14:textId="4DF20E3C" w:rsidR="00615AB1" w:rsidRPr="00AB655A" w:rsidRDefault="006644CD" w:rsidP="00785A9C">
            <w:pPr>
              <w:rPr>
                <w:rFonts w:asciiTheme="majorHAnsi" w:eastAsia="Calibri" w:hAnsiTheme="majorHAnsi" w:cstheme="majorHAnsi"/>
                <w:bCs/>
                <w:lang w:val="en-US"/>
              </w:rPr>
            </w:pPr>
            <w:r w:rsidRPr="00AB655A">
              <w:rPr>
                <w:rFonts w:asciiTheme="majorHAnsi" w:eastAsia="Calibri" w:hAnsiTheme="majorHAnsi" w:cstheme="majorHAnsi"/>
                <w:bCs/>
                <w:lang w:val="en-US"/>
              </w:rPr>
              <w:t xml:space="preserve">1.2.1 </w:t>
            </w:r>
            <w:r w:rsidR="005B4778" w:rsidRPr="00AB655A">
              <w:rPr>
                <w:rFonts w:asciiTheme="majorHAnsi" w:eastAsia="Calibri" w:hAnsiTheme="majorHAnsi" w:cstheme="majorHAnsi"/>
                <w:bCs/>
                <w:lang w:val="en-US"/>
              </w:rPr>
              <w:t>Ensure that the Specialized Gender Unit is properly staffed</w:t>
            </w:r>
            <w:r w:rsidR="00785A9C">
              <w:rPr>
                <w:rFonts w:asciiTheme="majorHAnsi" w:eastAsia="Calibri" w:hAnsiTheme="majorHAnsi" w:cstheme="majorHAnsi"/>
                <w:bCs/>
                <w:lang w:val="en-US"/>
              </w:rPr>
              <w:t>, that</w:t>
            </w:r>
            <w:r w:rsidR="005B4778" w:rsidRPr="00AB655A">
              <w:rPr>
                <w:rFonts w:asciiTheme="majorHAnsi" w:eastAsia="Calibri" w:hAnsiTheme="majorHAnsi" w:cstheme="majorHAnsi"/>
                <w:bCs/>
                <w:lang w:val="en-US"/>
              </w:rPr>
              <w:t xml:space="preserve"> </w:t>
            </w:r>
            <w:r w:rsidR="00785A9C">
              <w:rPr>
                <w:rFonts w:asciiTheme="majorHAnsi" w:eastAsia="Calibri" w:hAnsiTheme="majorHAnsi" w:cstheme="majorHAnsi"/>
                <w:bCs/>
                <w:lang w:val="en-US"/>
              </w:rPr>
              <w:t>it</w:t>
            </w:r>
            <w:r w:rsidR="00785A9C" w:rsidRPr="00AB655A">
              <w:rPr>
                <w:rFonts w:asciiTheme="majorHAnsi" w:eastAsia="Calibri" w:hAnsiTheme="majorHAnsi" w:cstheme="majorHAnsi"/>
                <w:bCs/>
                <w:lang w:val="en-US"/>
              </w:rPr>
              <w:t xml:space="preserve"> </w:t>
            </w:r>
            <w:r w:rsidR="005B4778" w:rsidRPr="00AB655A">
              <w:rPr>
                <w:rFonts w:asciiTheme="majorHAnsi" w:eastAsia="Calibri" w:hAnsiTheme="majorHAnsi" w:cstheme="majorHAnsi"/>
                <w:bCs/>
                <w:lang w:val="en-US"/>
              </w:rPr>
              <w:t>has full-time specialists</w:t>
            </w:r>
            <w:r w:rsidR="00785A9C">
              <w:rPr>
                <w:rFonts w:asciiTheme="majorHAnsi" w:eastAsia="Calibri" w:hAnsiTheme="majorHAnsi" w:cstheme="majorHAnsi"/>
                <w:bCs/>
                <w:lang w:val="en-US"/>
              </w:rPr>
              <w:t>, and that it has a</w:t>
            </w:r>
            <w:r w:rsidR="004D394F">
              <w:rPr>
                <w:rFonts w:asciiTheme="majorHAnsi" w:eastAsia="Calibri" w:hAnsiTheme="majorHAnsi" w:cstheme="majorHAnsi"/>
                <w:bCs/>
                <w:lang w:val="en-US"/>
              </w:rPr>
              <w:t xml:space="preserve"> budget</w:t>
            </w:r>
            <w:r w:rsidR="00785A9C">
              <w:rPr>
                <w:rFonts w:asciiTheme="majorHAnsi" w:eastAsia="Calibri" w:hAnsiTheme="majorHAnsi" w:cstheme="majorHAnsi"/>
                <w:bCs/>
                <w:lang w:val="en-US"/>
              </w:rPr>
              <w:t xml:space="preserve"> assigne</w:t>
            </w:r>
            <w:r w:rsidR="004D394F">
              <w:rPr>
                <w:rFonts w:asciiTheme="majorHAnsi" w:eastAsia="Calibri" w:hAnsiTheme="majorHAnsi" w:cstheme="majorHAnsi"/>
                <w:bCs/>
                <w:lang w:val="en-US"/>
              </w:rPr>
              <w:t>d</w:t>
            </w:r>
            <w:r w:rsidR="005B4778" w:rsidRPr="00AB655A">
              <w:rPr>
                <w:rFonts w:asciiTheme="majorHAnsi" w:eastAsia="Calibri" w:hAnsiTheme="majorHAnsi" w:cstheme="majorHAnsi"/>
                <w:bCs/>
                <w:lang w:val="en-US"/>
              </w:rPr>
              <w:t>.</w:t>
            </w:r>
          </w:p>
        </w:tc>
        <w:tc>
          <w:tcPr>
            <w:tcW w:w="654" w:type="pct"/>
          </w:tcPr>
          <w:p w14:paraId="400EDF26" w14:textId="3CBDC712" w:rsidR="00615AB1" w:rsidRPr="00AB655A" w:rsidRDefault="005B4778"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Executive Department</w:t>
            </w:r>
          </w:p>
          <w:p w14:paraId="3D005642" w14:textId="77777777" w:rsidR="00615AB1" w:rsidRDefault="005B4778"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Human Resource Unit</w:t>
            </w:r>
          </w:p>
          <w:p w14:paraId="779C2408" w14:textId="4E9A6C80" w:rsidR="00785A9C" w:rsidRPr="00AB655A" w:rsidRDefault="00785A9C"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Budget units</w:t>
            </w:r>
          </w:p>
        </w:tc>
        <w:tc>
          <w:tcPr>
            <w:cnfStyle w:val="000010000000" w:firstRow="0" w:lastRow="0" w:firstColumn="0" w:lastColumn="0" w:oddVBand="1" w:evenVBand="0" w:oddHBand="0" w:evenHBand="0" w:firstRowFirstColumn="0" w:firstRowLastColumn="0" w:lastRowFirstColumn="0" w:lastRowLastColumn="0"/>
            <w:tcW w:w="604" w:type="pct"/>
          </w:tcPr>
          <w:p w14:paraId="3C1F4EE7" w14:textId="58B766AF" w:rsidR="00615AB1" w:rsidRPr="00AB655A" w:rsidRDefault="005B4778"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 Unit</w:t>
            </w:r>
          </w:p>
        </w:tc>
        <w:tc>
          <w:tcPr>
            <w:tcW w:w="482" w:type="pct"/>
          </w:tcPr>
          <w:p w14:paraId="1822C179" w14:textId="0C3DE9E4" w:rsidR="00615AB1" w:rsidRPr="00AB655A" w:rsidRDefault="005B4778" w:rsidP="0010542F">
            <w:pPr>
              <w:spacing w:befor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vanish/>
                <w:lang w:val="en-US"/>
              </w:rPr>
            </w:pPr>
            <w:r w:rsidRPr="00AB655A">
              <w:rPr>
                <w:rFonts w:asciiTheme="majorHAnsi" w:eastAsia="Calibri" w:hAnsiTheme="majorHAnsi" w:cstheme="majorHAnsi"/>
                <w:lang w:val="en-US"/>
              </w:rPr>
              <w:t>Sh</w:t>
            </w:r>
            <w:r w:rsidR="00D05B57" w:rsidRPr="00AB655A">
              <w:rPr>
                <w:rFonts w:asciiTheme="majorHAnsi" w:eastAsia="Calibri" w:hAnsiTheme="majorHAnsi" w:cstheme="majorHAnsi"/>
                <w:lang w:val="en-US"/>
              </w:rPr>
              <w:t>ort</w:t>
            </w:r>
          </w:p>
        </w:tc>
        <w:tc>
          <w:tcPr>
            <w:cnfStyle w:val="000010000000" w:firstRow="0" w:lastRow="0" w:firstColumn="0" w:lastColumn="0" w:oddVBand="1" w:evenVBand="0" w:oddHBand="0" w:evenHBand="0" w:firstRowFirstColumn="0" w:firstRowLastColumn="0" w:lastRowFirstColumn="0" w:lastRowLastColumn="0"/>
            <w:tcW w:w="908" w:type="pct"/>
          </w:tcPr>
          <w:p w14:paraId="0864F25D" w14:textId="387FE506" w:rsidR="00615AB1" w:rsidRPr="00AB655A" w:rsidRDefault="00BF2C5D" w:rsidP="00B9344D">
            <w:pPr>
              <w:pStyle w:val="ListParagraph"/>
              <w:numPr>
                <w:ilvl w:val="0"/>
                <w:numId w:val="14"/>
              </w:numPr>
              <w:rPr>
                <w:rFonts w:asciiTheme="majorHAnsi" w:eastAsia="MS Mincho" w:hAnsiTheme="majorHAnsi" w:cstheme="majorHAnsi"/>
                <w:lang w:val="en-US"/>
              </w:rPr>
            </w:pPr>
            <w:r w:rsidRPr="00AB655A">
              <w:rPr>
                <w:rFonts w:asciiTheme="majorHAnsi" w:eastAsia="MS Mincho" w:hAnsiTheme="majorHAnsi" w:cstheme="majorHAnsi"/>
                <w:lang w:val="en-US"/>
              </w:rPr>
              <w:t>The Specialized Ge</w:t>
            </w:r>
            <w:r w:rsidR="00B9344D" w:rsidRPr="00AB655A">
              <w:rPr>
                <w:rFonts w:asciiTheme="majorHAnsi" w:eastAsia="MS Mincho" w:hAnsiTheme="majorHAnsi" w:cstheme="majorHAnsi"/>
                <w:lang w:val="en-US"/>
              </w:rPr>
              <w:t>nder</w:t>
            </w:r>
            <w:r w:rsidRPr="00AB655A">
              <w:rPr>
                <w:rFonts w:asciiTheme="majorHAnsi" w:eastAsia="MS Mincho" w:hAnsiTheme="majorHAnsi" w:cstheme="majorHAnsi"/>
                <w:lang w:val="en-US"/>
              </w:rPr>
              <w:t xml:space="preserve"> Unit has the appropriate and enough staff to perform its functions.</w:t>
            </w:r>
          </w:p>
        </w:tc>
        <w:tc>
          <w:tcPr>
            <w:tcW w:w="641" w:type="pct"/>
          </w:tcPr>
          <w:p w14:paraId="23B27E21" w14:textId="5279E6CC" w:rsidR="00615AB1" w:rsidRPr="00AB655A" w:rsidRDefault="00BF2C5D" w:rsidP="00BF2C5D">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Process of selection and appointment of qualified professionals for the Specialized Gender Unit.</w:t>
            </w:r>
          </w:p>
        </w:tc>
      </w:tr>
      <w:tr w:rsidR="00615AB1" w:rsidRPr="00AB655A" w14:paraId="2006BC47" w14:textId="77777777" w:rsidTr="005A235B">
        <w:trPr>
          <w:trHeight w:val="2974"/>
        </w:trPr>
        <w:tc>
          <w:tcPr>
            <w:cnfStyle w:val="001000000000" w:firstRow="0" w:lastRow="0" w:firstColumn="1" w:lastColumn="0" w:oddVBand="0" w:evenVBand="0" w:oddHBand="0" w:evenHBand="0" w:firstRowFirstColumn="0" w:firstRowLastColumn="0" w:lastRowFirstColumn="0" w:lastRowLastColumn="0"/>
            <w:tcW w:w="703" w:type="pct"/>
            <w:vMerge/>
          </w:tcPr>
          <w:p w14:paraId="1DFCB9F4" w14:textId="217F8C10" w:rsidR="00615AB1" w:rsidRPr="00AB655A" w:rsidRDefault="00615AB1" w:rsidP="00615AB1">
            <w:pPr>
              <w:pStyle w:val="ListParagraph"/>
              <w:ind w:left="314"/>
              <w:rPr>
                <w:rFonts w:asciiTheme="majorHAnsi" w:eastAsia="MS Mincho" w:hAnsiTheme="majorHAnsi" w:cstheme="majorHAnsi"/>
                <w:bCs w:val="0"/>
                <w:sz w:val="22"/>
                <w:szCs w:val="22"/>
                <w:lang w:val="en-US"/>
              </w:rPr>
            </w:pPr>
          </w:p>
        </w:tc>
        <w:tc>
          <w:tcPr>
            <w:cnfStyle w:val="000010000000" w:firstRow="0" w:lastRow="0" w:firstColumn="0" w:lastColumn="0" w:oddVBand="1" w:evenVBand="0" w:oddHBand="0" w:evenHBand="0" w:firstRowFirstColumn="0" w:firstRowLastColumn="0" w:lastRowFirstColumn="0" w:lastRowLastColumn="0"/>
            <w:tcW w:w="1008" w:type="pct"/>
          </w:tcPr>
          <w:p w14:paraId="03769837" w14:textId="1D81F332" w:rsidR="00615AB1" w:rsidRPr="00AB655A" w:rsidRDefault="006644CD" w:rsidP="00B9344D">
            <w:pPr>
              <w:rPr>
                <w:rFonts w:asciiTheme="majorHAnsi" w:eastAsia="MS Mincho" w:hAnsiTheme="majorHAnsi" w:cstheme="majorHAnsi"/>
                <w:lang w:val="en-US"/>
              </w:rPr>
            </w:pPr>
            <w:r w:rsidRPr="00AB655A">
              <w:rPr>
                <w:rFonts w:asciiTheme="majorHAnsi" w:eastAsia="Calibri" w:hAnsiTheme="majorHAnsi" w:cstheme="majorHAnsi"/>
                <w:bCs/>
                <w:lang w:val="en-US"/>
              </w:rPr>
              <w:t xml:space="preserve">1.2.2 </w:t>
            </w:r>
            <w:r w:rsidR="00BF2C5D" w:rsidRPr="00AB655A">
              <w:rPr>
                <w:rFonts w:asciiTheme="majorHAnsi" w:eastAsia="Calibri" w:hAnsiTheme="majorHAnsi" w:cstheme="majorHAnsi"/>
                <w:bCs/>
                <w:lang w:val="en-US"/>
              </w:rPr>
              <w:t>Evaluate, approve, and execute the instruments to support the Specialized Gender Unit (Operational Manual and Administrative Manual).</w:t>
            </w:r>
          </w:p>
        </w:tc>
        <w:tc>
          <w:tcPr>
            <w:tcW w:w="654" w:type="pct"/>
          </w:tcPr>
          <w:p w14:paraId="57DCECBC" w14:textId="725BB35B" w:rsidR="00615AB1" w:rsidRPr="00AB655A" w:rsidRDefault="00BF2C5D"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Competent administrative unit</w:t>
            </w:r>
          </w:p>
          <w:p w14:paraId="77BA2FE6" w14:textId="16F06B8F" w:rsidR="00615AB1" w:rsidRPr="00AB655A" w:rsidRDefault="00BF2C5D"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04" w:type="pct"/>
          </w:tcPr>
          <w:p w14:paraId="440679E2" w14:textId="660640C6" w:rsidR="00615AB1" w:rsidRPr="00AB655A" w:rsidRDefault="00BF2C5D"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of the Administrative Unit</w:t>
            </w:r>
          </w:p>
          <w:p w14:paraId="3CCC740E" w14:textId="50354ADD" w:rsidR="00615AB1" w:rsidRPr="00AB655A" w:rsidRDefault="00615AB1" w:rsidP="00CA03BE">
            <w:pPr>
              <w:pStyle w:val="ListParagraph"/>
              <w:ind w:left="167"/>
              <w:rPr>
                <w:rFonts w:asciiTheme="majorHAnsi" w:eastAsia="MS Mincho" w:hAnsiTheme="majorHAnsi" w:cstheme="majorHAnsi"/>
                <w:lang w:val="en-US"/>
              </w:rPr>
            </w:pPr>
          </w:p>
        </w:tc>
        <w:tc>
          <w:tcPr>
            <w:tcW w:w="482" w:type="pct"/>
          </w:tcPr>
          <w:p w14:paraId="4DE777F8" w14:textId="77777777" w:rsidR="00615AB1" w:rsidRPr="00AB655A" w:rsidRDefault="00615AB1" w:rsidP="0010542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en-US"/>
              </w:rPr>
            </w:pPr>
          </w:p>
          <w:p w14:paraId="0A8D0D56" w14:textId="56C57CEE" w:rsidR="00615AB1" w:rsidRPr="00AB655A" w:rsidRDefault="00BF2C5D" w:rsidP="0010542F">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Calibri" w:hAnsiTheme="majorHAnsi" w:cstheme="majorHAnsi"/>
                <w:lang w:val="en-US"/>
              </w:rPr>
              <w:t>Short</w:t>
            </w:r>
          </w:p>
        </w:tc>
        <w:tc>
          <w:tcPr>
            <w:cnfStyle w:val="000010000000" w:firstRow="0" w:lastRow="0" w:firstColumn="0" w:lastColumn="0" w:oddVBand="1" w:evenVBand="0" w:oddHBand="0" w:evenHBand="0" w:firstRowFirstColumn="0" w:firstRowLastColumn="0" w:lastRowFirstColumn="0" w:lastRowLastColumn="0"/>
            <w:tcW w:w="908" w:type="pct"/>
          </w:tcPr>
          <w:p w14:paraId="0CEED85F" w14:textId="2DDEC626" w:rsidR="00615AB1" w:rsidRPr="00AB655A" w:rsidRDefault="00BF2C5D"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Evaluate the Manuals of the Specialized Gender Unit.</w:t>
            </w:r>
          </w:p>
          <w:p w14:paraId="1B3846C5" w14:textId="23EE07CB" w:rsidR="00615AB1" w:rsidRPr="00AB655A" w:rsidRDefault="00BF2C5D"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Approval of the Manuals of the Specialized Gender Unit.</w:t>
            </w:r>
          </w:p>
          <w:p w14:paraId="60456452" w14:textId="77777777" w:rsidR="00615AB1" w:rsidRPr="00AB655A" w:rsidRDefault="00615AB1" w:rsidP="00212B4B">
            <w:pPr>
              <w:pStyle w:val="ListParagraph"/>
              <w:ind w:left="167"/>
              <w:rPr>
                <w:rFonts w:asciiTheme="majorHAnsi" w:eastAsia="MS Mincho" w:hAnsiTheme="majorHAnsi" w:cstheme="majorHAnsi"/>
                <w:lang w:val="en-US"/>
              </w:rPr>
            </w:pPr>
          </w:p>
        </w:tc>
        <w:tc>
          <w:tcPr>
            <w:tcW w:w="641" w:type="pct"/>
          </w:tcPr>
          <w:p w14:paraId="14EC19CF" w14:textId="2B22C036" w:rsidR="00615AB1" w:rsidRPr="00AB655A" w:rsidRDefault="00BF2C5D"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Report from the evaluation of Manuals</w:t>
            </w:r>
          </w:p>
          <w:p w14:paraId="40A6E2F4" w14:textId="1D5B7ABE" w:rsidR="00615AB1" w:rsidRPr="00AB655A" w:rsidRDefault="00BF2C5D"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Approval of the Manuals</w:t>
            </w:r>
          </w:p>
          <w:p w14:paraId="612693F3" w14:textId="036358D9" w:rsidR="00615AB1" w:rsidRPr="00AB655A" w:rsidRDefault="00615AB1" w:rsidP="00212B4B">
            <w:pPr>
              <w:pStyle w:val="ListParagraph"/>
              <w:ind w:left="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p>
        </w:tc>
      </w:tr>
      <w:tr w:rsidR="00615AB1" w:rsidRPr="00AB655A" w14:paraId="6A50F489" w14:textId="77777777" w:rsidTr="005A235B">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703" w:type="pct"/>
            <w:vMerge/>
          </w:tcPr>
          <w:p w14:paraId="593FDBC4" w14:textId="352CF48A" w:rsidR="00615AB1" w:rsidRPr="00AB655A" w:rsidRDefault="00615AB1" w:rsidP="00615AB1">
            <w:pPr>
              <w:pStyle w:val="ListParagraph"/>
              <w:ind w:left="314"/>
              <w:rPr>
                <w:rFonts w:asciiTheme="majorHAnsi" w:eastAsia="MS Mincho" w:hAnsiTheme="majorHAnsi" w:cstheme="majorHAnsi"/>
                <w:b w:val="0"/>
                <w:bCs w:val="0"/>
                <w:sz w:val="22"/>
                <w:szCs w:val="22"/>
                <w:lang w:val="en-US"/>
              </w:rPr>
            </w:pPr>
          </w:p>
        </w:tc>
        <w:tc>
          <w:tcPr>
            <w:cnfStyle w:val="000010000000" w:firstRow="0" w:lastRow="0" w:firstColumn="0" w:lastColumn="0" w:oddVBand="1" w:evenVBand="0" w:oddHBand="0" w:evenHBand="0" w:firstRowFirstColumn="0" w:firstRowLastColumn="0" w:lastRowFirstColumn="0" w:lastRowLastColumn="0"/>
            <w:tcW w:w="1008" w:type="pct"/>
          </w:tcPr>
          <w:p w14:paraId="01DED71B" w14:textId="5563561B" w:rsidR="00615AB1" w:rsidRPr="00AB655A" w:rsidRDefault="006644CD" w:rsidP="00BF2C5D">
            <w:pPr>
              <w:rPr>
                <w:rFonts w:asciiTheme="majorHAnsi" w:eastAsia="MS Mincho" w:hAnsiTheme="majorHAnsi" w:cstheme="majorHAnsi"/>
                <w:lang w:val="en-US"/>
              </w:rPr>
            </w:pPr>
            <w:r w:rsidRPr="00AB655A">
              <w:rPr>
                <w:rFonts w:asciiTheme="majorHAnsi" w:eastAsia="MS Mincho" w:hAnsiTheme="majorHAnsi" w:cstheme="majorHAnsi"/>
                <w:bCs/>
                <w:lang w:val="en-US"/>
              </w:rPr>
              <w:t xml:space="preserve">1.2.3 </w:t>
            </w:r>
            <w:r w:rsidR="00BF2C5D" w:rsidRPr="00AB655A">
              <w:rPr>
                <w:rFonts w:asciiTheme="majorHAnsi" w:eastAsia="MS Mincho" w:hAnsiTheme="majorHAnsi" w:cstheme="majorHAnsi"/>
                <w:bCs/>
                <w:lang w:val="en-US"/>
              </w:rPr>
              <w:t>Review and adapt the budget of the Specialized Gender Unit</w:t>
            </w:r>
          </w:p>
        </w:tc>
        <w:tc>
          <w:tcPr>
            <w:tcW w:w="654" w:type="pct"/>
          </w:tcPr>
          <w:p w14:paraId="3BDBFB63" w14:textId="0C657450" w:rsidR="00615AB1" w:rsidRPr="00AB655A" w:rsidRDefault="00BF2C5D"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Financial Unit</w:t>
            </w:r>
          </w:p>
          <w:p w14:paraId="26A38E9E" w14:textId="60CE7E7F" w:rsidR="00615AB1" w:rsidRPr="00AB655A" w:rsidRDefault="00BF2C5D"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04" w:type="pct"/>
          </w:tcPr>
          <w:p w14:paraId="476DC8ED" w14:textId="6A6BBA10" w:rsidR="00BF2C5D" w:rsidRPr="00AB655A" w:rsidRDefault="00BF2C5D" w:rsidP="00BF2C5D">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of the Financial Unit</w:t>
            </w:r>
          </w:p>
          <w:p w14:paraId="6BA30722" w14:textId="2785EAE9" w:rsidR="00615AB1" w:rsidRPr="00AB655A" w:rsidRDefault="00615AB1" w:rsidP="00CA03BE">
            <w:pPr>
              <w:pStyle w:val="ListParagraph"/>
              <w:ind w:left="167"/>
              <w:rPr>
                <w:rFonts w:asciiTheme="majorHAnsi" w:eastAsia="MS Mincho" w:hAnsiTheme="majorHAnsi" w:cstheme="majorHAnsi"/>
                <w:lang w:val="en-US"/>
              </w:rPr>
            </w:pPr>
          </w:p>
        </w:tc>
        <w:tc>
          <w:tcPr>
            <w:tcW w:w="482" w:type="pct"/>
          </w:tcPr>
          <w:p w14:paraId="685584FB" w14:textId="18771261" w:rsidR="00615AB1" w:rsidRPr="00AB655A" w:rsidRDefault="00BF2C5D" w:rsidP="00BF2C5D">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Short</w:t>
            </w:r>
            <w:r w:rsidRPr="00AB655A">
              <w:rPr>
                <w:rFonts w:asciiTheme="majorHAnsi" w:eastAsia="MS Mincho" w:hAnsiTheme="majorHAnsi" w:cstheme="majorHAnsi"/>
                <w:sz w:val="18"/>
                <w:szCs w:val="18"/>
                <w:lang w:val="en-US"/>
              </w:rPr>
              <w:t xml:space="preserve"> (before developing the next budget)</w:t>
            </w:r>
          </w:p>
        </w:tc>
        <w:tc>
          <w:tcPr>
            <w:cnfStyle w:val="000010000000" w:firstRow="0" w:lastRow="0" w:firstColumn="0" w:lastColumn="0" w:oddVBand="1" w:evenVBand="0" w:oddHBand="0" w:evenHBand="0" w:firstRowFirstColumn="0" w:firstRowLastColumn="0" w:lastRowFirstColumn="0" w:lastRowLastColumn="0"/>
            <w:tcW w:w="908" w:type="pct"/>
          </w:tcPr>
          <w:p w14:paraId="33DB8519" w14:textId="2A32DEE4" w:rsidR="00615AB1" w:rsidRPr="00AB655A" w:rsidRDefault="004B52C1"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A budget item based on the needs, designated for the Specialized Gender Unit</w:t>
            </w:r>
          </w:p>
        </w:tc>
        <w:tc>
          <w:tcPr>
            <w:tcW w:w="641" w:type="pct"/>
          </w:tcPr>
          <w:p w14:paraId="078DE9DA" w14:textId="5D88DC86" w:rsidR="00615AB1" w:rsidRPr="00AB655A" w:rsidRDefault="004B52C1"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Budget item</w:t>
            </w:r>
            <w:r w:rsidR="00615AB1" w:rsidRPr="00AB655A">
              <w:rPr>
                <w:rFonts w:asciiTheme="majorHAnsi" w:eastAsia="MS Mincho" w:hAnsiTheme="majorHAnsi" w:cstheme="majorHAnsi"/>
                <w:lang w:val="en-US"/>
              </w:rPr>
              <w:t xml:space="preserve"> </w:t>
            </w:r>
          </w:p>
        </w:tc>
      </w:tr>
    </w:tbl>
    <w:p w14:paraId="581BA939" w14:textId="3837E0B3" w:rsidR="001D3658" w:rsidRPr="00AB655A" w:rsidRDefault="001D3658">
      <w:pPr>
        <w:rPr>
          <w:lang w:val="en-US"/>
        </w:rPr>
      </w:pPr>
    </w:p>
    <w:p w14:paraId="083C287A" w14:textId="77777777" w:rsidR="00B6190C" w:rsidRPr="00AB655A" w:rsidRDefault="00B6190C">
      <w:pPr>
        <w:rPr>
          <w:lang w:val="en-US"/>
        </w:rPr>
      </w:pPr>
    </w:p>
    <w:tbl>
      <w:tblPr>
        <w:tblStyle w:val="GridTable4-Accent1"/>
        <w:tblW w:w="4962" w:type="pct"/>
        <w:tblLayout w:type="fixed"/>
        <w:tblLook w:val="00A0" w:firstRow="1" w:lastRow="0" w:firstColumn="1" w:lastColumn="0" w:noHBand="0" w:noVBand="0"/>
      </w:tblPr>
      <w:tblGrid>
        <w:gridCol w:w="2123"/>
        <w:gridCol w:w="2691"/>
        <w:gridCol w:w="1703"/>
        <w:gridCol w:w="1558"/>
        <w:gridCol w:w="1275"/>
        <w:gridCol w:w="3119"/>
        <w:gridCol w:w="1419"/>
      </w:tblGrid>
      <w:tr w:rsidR="00EB5BA9" w:rsidRPr="00ED097B" w14:paraId="312D6500" w14:textId="77777777" w:rsidTr="2425A8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Pr>
          <w:p w14:paraId="05B21601" w14:textId="4EEE8361" w:rsidR="00A25F85" w:rsidRPr="00AB655A" w:rsidRDefault="00EB5BA9" w:rsidP="00CB4C37">
            <w:pPr>
              <w:jc w:val="center"/>
              <w:rPr>
                <w:rFonts w:asciiTheme="majorHAnsi" w:eastAsia="MS Mincho" w:hAnsiTheme="majorHAnsi" w:cstheme="majorHAnsi"/>
                <w:b w:val="0"/>
                <w:sz w:val="28"/>
                <w:szCs w:val="28"/>
                <w:lang w:val="en-US"/>
              </w:rPr>
            </w:pPr>
            <w:r w:rsidRPr="00AB655A">
              <w:rPr>
                <w:rFonts w:asciiTheme="majorHAnsi" w:eastAsia="MS Mincho" w:hAnsiTheme="majorHAnsi" w:cstheme="majorHAnsi"/>
                <w:sz w:val="22"/>
                <w:szCs w:val="22"/>
                <w:lang w:val="en-US"/>
              </w:rPr>
              <w:lastRenderedPageBreak/>
              <w:br w:type="page"/>
            </w:r>
            <w:r w:rsidR="00C50653" w:rsidRPr="00AB655A">
              <w:rPr>
                <w:rFonts w:asciiTheme="majorHAnsi" w:eastAsia="MS Mincho" w:hAnsiTheme="majorHAnsi" w:cstheme="majorHAnsi"/>
                <w:sz w:val="28"/>
                <w:szCs w:val="28"/>
                <w:lang w:val="en-US"/>
              </w:rPr>
              <w:t>Line of action 2: Mainstream a gender approach in policies, programs, and projects.</w:t>
            </w:r>
          </w:p>
          <w:p w14:paraId="34EADD02" w14:textId="71122DFD" w:rsidR="00354E90" w:rsidRPr="00AB655A" w:rsidRDefault="00354E90" w:rsidP="00A738B9">
            <w:pPr>
              <w:shd w:val="clear" w:color="auto" w:fill="D9D9D9"/>
              <w:jc w:val="center"/>
              <w:rPr>
                <w:rFonts w:asciiTheme="majorHAnsi" w:eastAsia="MS Mincho" w:hAnsiTheme="majorHAnsi" w:cstheme="majorHAnsi"/>
                <w:b w:val="0"/>
                <w:i/>
                <w:iCs/>
                <w:sz w:val="22"/>
                <w:szCs w:val="22"/>
                <w:lang w:val="en-US"/>
              </w:rPr>
            </w:pPr>
          </w:p>
        </w:tc>
      </w:tr>
      <w:tr w:rsidR="005552B6" w:rsidRPr="00AB655A" w14:paraId="1EFEB520" w14:textId="77777777" w:rsidTr="2425A8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 w:type="pct"/>
            <w:shd w:val="clear" w:color="auto" w:fill="D4EAF3" w:themeFill="accent1" w:themeFillTint="33"/>
          </w:tcPr>
          <w:p w14:paraId="16D4E8D4" w14:textId="77777777" w:rsidR="005552B6" w:rsidRPr="00AB655A" w:rsidRDefault="005552B6" w:rsidP="005552B6">
            <w:pPr>
              <w:jc w:val="center"/>
              <w:rPr>
                <w:rFonts w:asciiTheme="majorHAnsi" w:eastAsia="MS Mincho" w:hAnsiTheme="majorHAnsi" w:cstheme="majorHAnsi"/>
                <w:b w:val="0"/>
                <w:bCs w:val="0"/>
                <w:i/>
                <w:color w:val="auto"/>
                <w:sz w:val="22"/>
                <w:szCs w:val="22"/>
                <w:lang w:val="en-US"/>
              </w:rPr>
            </w:pPr>
            <w:r w:rsidRPr="00AB655A">
              <w:rPr>
                <w:rFonts w:asciiTheme="majorHAnsi" w:eastAsia="MS Mincho" w:hAnsiTheme="majorHAnsi" w:cstheme="majorHAnsi"/>
                <w:color w:val="auto"/>
                <w:sz w:val="22"/>
                <w:szCs w:val="22"/>
                <w:lang w:val="en-US"/>
              </w:rPr>
              <w:t>Strategic objective</w:t>
            </w:r>
          </w:p>
          <w:p w14:paraId="35889195" w14:textId="6E67953B" w:rsidR="005552B6" w:rsidRPr="00AB655A" w:rsidRDefault="005552B6" w:rsidP="005552B6">
            <w:pPr>
              <w:jc w:val="center"/>
              <w:rPr>
                <w:rFonts w:asciiTheme="majorHAnsi" w:eastAsia="MS Mincho" w:hAnsiTheme="majorHAnsi" w:cstheme="majorHAnsi"/>
                <w:b w:val="0"/>
                <w:color w:val="auto"/>
                <w:sz w:val="22"/>
                <w:szCs w:val="22"/>
                <w:lang w:val="en-US"/>
              </w:rPr>
            </w:pPr>
          </w:p>
        </w:tc>
        <w:tc>
          <w:tcPr>
            <w:cnfStyle w:val="000010000000" w:firstRow="0" w:lastRow="0" w:firstColumn="0" w:lastColumn="0" w:oddVBand="1" w:evenVBand="0" w:oddHBand="0" w:evenHBand="0" w:firstRowFirstColumn="0" w:firstRowLastColumn="0" w:lastRowFirstColumn="0" w:lastRowLastColumn="0"/>
            <w:tcW w:w="969" w:type="pct"/>
            <w:shd w:val="clear" w:color="auto" w:fill="D4EAF3" w:themeFill="accent1" w:themeFillTint="33"/>
          </w:tcPr>
          <w:p w14:paraId="5345E023" w14:textId="4B2FD4ED" w:rsidR="005552B6" w:rsidRPr="00AB655A" w:rsidRDefault="005552B6" w:rsidP="005552B6">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Activities</w:t>
            </w:r>
          </w:p>
        </w:tc>
        <w:tc>
          <w:tcPr>
            <w:tcW w:w="613" w:type="pct"/>
            <w:shd w:val="clear" w:color="auto" w:fill="D4EAF3" w:themeFill="accent1" w:themeFillTint="33"/>
          </w:tcPr>
          <w:p w14:paraId="3AB484D8" w14:textId="2B8B6961" w:rsidR="005552B6" w:rsidRPr="00AB655A" w:rsidRDefault="005552B6" w:rsidP="005552B6">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Entity in charge and support</w:t>
            </w:r>
          </w:p>
        </w:tc>
        <w:tc>
          <w:tcPr>
            <w:cnfStyle w:val="000010000000" w:firstRow="0" w:lastRow="0" w:firstColumn="0" w:lastColumn="0" w:oddVBand="1" w:evenVBand="0" w:oddHBand="0" w:evenHBand="0" w:firstRowFirstColumn="0" w:firstRowLastColumn="0" w:lastRowFirstColumn="0" w:lastRowLastColumn="0"/>
            <w:tcW w:w="561" w:type="pct"/>
            <w:shd w:val="clear" w:color="auto" w:fill="D4EAF3" w:themeFill="accent1" w:themeFillTint="33"/>
          </w:tcPr>
          <w:p w14:paraId="3A591C0D" w14:textId="774DA8D7" w:rsidR="005552B6" w:rsidRPr="00AB655A" w:rsidRDefault="005552B6" w:rsidP="005552B6">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Resources</w:t>
            </w:r>
          </w:p>
        </w:tc>
        <w:tc>
          <w:tcPr>
            <w:tcW w:w="459" w:type="pct"/>
            <w:shd w:val="clear" w:color="auto" w:fill="D4EAF3" w:themeFill="accent1" w:themeFillTint="33"/>
          </w:tcPr>
          <w:p w14:paraId="0795E070" w14:textId="72F7B874" w:rsidR="005552B6" w:rsidRPr="00AB655A" w:rsidRDefault="005552B6" w:rsidP="005552B6">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Timeframe</w:t>
            </w:r>
          </w:p>
        </w:tc>
        <w:tc>
          <w:tcPr>
            <w:cnfStyle w:val="000010000000" w:firstRow="0" w:lastRow="0" w:firstColumn="0" w:lastColumn="0" w:oddVBand="1" w:evenVBand="0" w:oddHBand="0" w:evenHBand="0" w:firstRowFirstColumn="0" w:firstRowLastColumn="0" w:lastRowFirstColumn="0" w:lastRowLastColumn="0"/>
            <w:tcW w:w="1123" w:type="pct"/>
            <w:shd w:val="clear" w:color="auto" w:fill="D4EAF3" w:themeFill="accent1" w:themeFillTint="33"/>
          </w:tcPr>
          <w:p w14:paraId="1BCFE7A1" w14:textId="1A02E0E6" w:rsidR="005552B6" w:rsidRPr="00AB655A" w:rsidRDefault="005552B6" w:rsidP="005552B6">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Indicators</w:t>
            </w:r>
          </w:p>
        </w:tc>
        <w:tc>
          <w:tcPr>
            <w:tcW w:w="511" w:type="pct"/>
            <w:shd w:val="clear" w:color="auto" w:fill="D4EAF3" w:themeFill="accent1" w:themeFillTint="33"/>
          </w:tcPr>
          <w:p w14:paraId="11F5D525" w14:textId="29200D77" w:rsidR="005552B6" w:rsidRPr="00AB655A" w:rsidRDefault="005552B6" w:rsidP="005552B6">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Verification methods</w:t>
            </w:r>
          </w:p>
        </w:tc>
      </w:tr>
      <w:tr w:rsidR="00B86DD2" w:rsidRPr="00ED097B" w14:paraId="10D4F4D7" w14:textId="77777777" w:rsidTr="2425A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Merge w:val="restart"/>
          </w:tcPr>
          <w:p w14:paraId="30C20328" w14:textId="61D490DD" w:rsidR="00B86DD2" w:rsidRPr="00AB655A" w:rsidRDefault="1024B15E" w:rsidP="2425A842">
            <w:pPr>
              <w:pStyle w:val="ListParagraph"/>
              <w:numPr>
                <w:ilvl w:val="1"/>
                <w:numId w:val="11"/>
              </w:numPr>
              <w:rPr>
                <w:rFonts w:asciiTheme="majorHAnsi" w:eastAsia="MS Mincho" w:hAnsiTheme="majorHAnsi" w:cstheme="majorBidi"/>
                <w:sz w:val="22"/>
                <w:szCs w:val="22"/>
                <w:lang w:val="en-US"/>
              </w:rPr>
            </w:pPr>
            <w:r w:rsidRPr="2425A842">
              <w:rPr>
                <w:rFonts w:asciiTheme="majorHAnsi" w:eastAsia="MS Mincho" w:hAnsiTheme="majorHAnsi" w:cstheme="majorBidi"/>
                <w:sz w:val="22"/>
                <w:szCs w:val="22"/>
                <w:lang w:val="en-US"/>
              </w:rPr>
              <w:t>Promote the inclusion of the gender approach across all stages of the policies, programs, actions (design, planning, monitoring</w:t>
            </w:r>
            <w:r w:rsidRPr="2425A842">
              <w:rPr>
                <w:rFonts w:asciiTheme="majorHAnsi" w:eastAsia="MS Mincho" w:hAnsiTheme="majorHAnsi" w:cstheme="majorBidi"/>
                <w:sz w:val="22"/>
                <w:szCs w:val="22"/>
                <w:lang w:val="en-US"/>
              </w:rPr>
              <w:t>,</w:t>
            </w:r>
            <w:r w:rsidRPr="2425A842">
              <w:rPr>
                <w:rFonts w:asciiTheme="majorHAnsi" w:eastAsia="MS Mincho" w:hAnsiTheme="majorHAnsi" w:cstheme="majorBidi"/>
                <w:sz w:val="22"/>
                <w:szCs w:val="22"/>
                <w:lang w:val="en-US"/>
              </w:rPr>
              <w:t xml:space="preserve"> and evaluation), and guidelines of every unit in the institution</w:t>
            </w:r>
          </w:p>
        </w:tc>
        <w:tc>
          <w:tcPr>
            <w:cnfStyle w:val="000010000000" w:firstRow="0" w:lastRow="0" w:firstColumn="0" w:lastColumn="0" w:oddVBand="1" w:evenVBand="0" w:oddHBand="0" w:evenHBand="0" w:firstRowFirstColumn="0" w:firstRowLastColumn="0" w:lastRowFirstColumn="0" w:lastRowLastColumn="0"/>
            <w:tcW w:w="969" w:type="pct"/>
          </w:tcPr>
          <w:p w14:paraId="1DFFDA21" w14:textId="6A5DBFBE" w:rsidR="00B86DD2" w:rsidRPr="00AB655A" w:rsidRDefault="00B86DD2" w:rsidP="005552B6">
            <w:pPr>
              <w:rPr>
                <w:rFonts w:asciiTheme="majorHAnsi" w:eastAsia="MS Mincho" w:hAnsiTheme="majorHAnsi" w:cstheme="majorHAnsi"/>
                <w:lang w:val="en-US"/>
              </w:rPr>
            </w:pPr>
            <w:r w:rsidRPr="00AB655A">
              <w:rPr>
                <w:rFonts w:asciiTheme="majorHAnsi" w:eastAsia="MS Mincho" w:hAnsiTheme="majorHAnsi" w:cstheme="majorHAnsi"/>
                <w:bCs/>
                <w:lang w:val="en-US"/>
              </w:rPr>
              <w:t>2.1.1.</w:t>
            </w:r>
            <w:r w:rsidRPr="00AB655A">
              <w:rPr>
                <w:rFonts w:asciiTheme="majorHAnsi" w:hAnsiTheme="majorHAnsi" w:cstheme="majorHAnsi"/>
                <w:lang w:val="en-US"/>
              </w:rPr>
              <w:t xml:space="preserve"> </w:t>
            </w:r>
            <w:r w:rsidRPr="00AB655A">
              <w:rPr>
                <w:rFonts w:asciiTheme="majorHAnsi" w:eastAsia="MS Mincho" w:hAnsiTheme="majorHAnsi" w:cstheme="majorHAnsi"/>
                <w:b/>
                <w:lang w:val="en-US"/>
              </w:rPr>
              <w:tab/>
            </w:r>
            <w:r w:rsidR="005552B6" w:rsidRPr="00AB655A">
              <w:rPr>
                <w:rFonts w:asciiTheme="majorHAnsi" w:eastAsia="MS Mincho" w:hAnsiTheme="majorHAnsi" w:cstheme="majorHAnsi"/>
                <w:lang w:val="en-US"/>
              </w:rPr>
              <w:t>Establish instruments to incorporate a gender approach throughout the design, implementation, monitoring, and evaluation of the policies, programs, and projects.</w:t>
            </w:r>
          </w:p>
        </w:tc>
        <w:tc>
          <w:tcPr>
            <w:tcW w:w="613" w:type="pct"/>
          </w:tcPr>
          <w:p w14:paraId="0FBADD9C" w14:textId="533EE43A" w:rsidR="00B86DD2" w:rsidRPr="00AB655A" w:rsidRDefault="005552B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Planning Unit</w:t>
            </w:r>
          </w:p>
          <w:p w14:paraId="1AC7A1F8" w14:textId="47A215E5" w:rsidR="00212B4B" w:rsidRPr="00AB655A" w:rsidRDefault="005552B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p w14:paraId="46035C97" w14:textId="5A00B7B9" w:rsidR="00212B4B" w:rsidRPr="00AB655A" w:rsidRDefault="005552B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Cooperating entities</w:t>
            </w:r>
          </w:p>
          <w:p w14:paraId="7B5FF5D8" w14:textId="68952C9D" w:rsidR="00212B4B" w:rsidRPr="00AB655A" w:rsidRDefault="005552B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State and private training entities</w:t>
            </w:r>
          </w:p>
        </w:tc>
        <w:tc>
          <w:tcPr>
            <w:cnfStyle w:val="000010000000" w:firstRow="0" w:lastRow="0" w:firstColumn="0" w:lastColumn="0" w:oddVBand="1" w:evenVBand="0" w:oddHBand="0" w:evenHBand="0" w:firstRowFirstColumn="0" w:firstRowLastColumn="0" w:lastRowFirstColumn="0" w:lastRowLastColumn="0"/>
            <w:tcW w:w="561" w:type="pct"/>
          </w:tcPr>
          <w:p w14:paraId="2B675D76" w14:textId="3783D3FE" w:rsidR="00B86DD2" w:rsidRPr="00AB655A" w:rsidRDefault="005552B6" w:rsidP="005552B6">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from the Planning Unit who received prior training on integrating a gender approach in policies, programs, and projects.</w:t>
            </w:r>
          </w:p>
        </w:tc>
        <w:tc>
          <w:tcPr>
            <w:tcW w:w="459" w:type="pct"/>
          </w:tcPr>
          <w:p w14:paraId="37794F02" w14:textId="5502807D" w:rsidR="00B86DD2" w:rsidRPr="00AB655A" w:rsidRDefault="005552B6" w:rsidP="00A738B9">
            <w:pPr>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r w:rsidRPr="00AB655A">
              <w:rPr>
                <w:rFonts w:asciiTheme="majorHAnsi" w:eastAsia="MS Mincho" w:hAnsiTheme="majorHAnsi" w:cstheme="majorHAnsi"/>
                <w:bCs/>
                <w:lang w:val="en-US"/>
              </w:rPr>
              <w:t>Short</w:t>
            </w:r>
          </w:p>
        </w:tc>
        <w:tc>
          <w:tcPr>
            <w:cnfStyle w:val="000010000000" w:firstRow="0" w:lastRow="0" w:firstColumn="0" w:lastColumn="0" w:oddVBand="1" w:evenVBand="0" w:oddHBand="0" w:evenHBand="0" w:firstRowFirstColumn="0" w:firstRowLastColumn="0" w:lastRowFirstColumn="0" w:lastRowLastColumn="0"/>
            <w:tcW w:w="1123" w:type="pct"/>
          </w:tcPr>
          <w:p w14:paraId="5C0824D5" w14:textId="7047C409" w:rsidR="005552B6" w:rsidRPr="00AB655A" w:rsidRDefault="005552B6"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The creation of </w:t>
            </w:r>
            <w:r w:rsidR="00CC183C" w:rsidRPr="00AB655A">
              <w:rPr>
                <w:rFonts w:asciiTheme="majorHAnsi" w:eastAsia="MS Mincho" w:hAnsiTheme="majorHAnsi" w:cstheme="majorHAnsi"/>
                <w:lang w:val="en-US"/>
              </w:rPr>
              <w:t xml:space="preserve">a </w:t>
            </w:r>
            <w:r w:rsidRPr="00AB655A">
              <w:rPr>
                <w:rFonts w:asciiTheme="majorHAnsi" w:eastAsia="MS Mincho" w:hAnsiTheme="majorHAnsi" w:cstheme="majorHAnsi"/>
                <w:lang w:val="en-US"/>
              </w:rPr>
              <w:t>standardized guide to integrate a gender approach in policies, programs, and projects.</w:t>
            </w:r>
          </w:p>
          <w:p w14:paraId="43D8E315" w14:textId="623CE71A" w:rsidR="00B86DD2" w:rsidRPr="00AB655A" w:rsidRDefault="005552B6" w:rsidP="005552B6">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Each unit of the institution has at least one person with training on the use of the Guide to integrate a gender approach in policies, programs, and projects.</w:t>
            </w:r>
          </w:p>
        </w:tc>
        <w:tc>
          <w:tcPr>
            <w:tcW w:w="511" w:type="pct"/>
          </w:tcPr>
          <w:p w14:paraId="178F2F9F" w14:textId="77777777" w:rsidR="005552B6" w:rsidRPr="00AB655A" w:rsidRDefault="005552B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Guide to integrate a gender approach in policies, programs, and projects.</w:t>
            </w:r>
          </w:p>
          <w:p w14:paraId="728C70EC" w14:textId="394E15BD" w:rsidR="00A00210" w:rsidRPr="00AB655A" w:rsidRDefault="005552B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Trainings on the use of the Guide.</w:t>
            </w:r>
          </w:p>
        </w:tc>
      </w:tr>
      <w:tr w:rsidR="00A00210" w:rsidRPr="00ED097B" w14:paraId="559C6890" w14:textId="77777777" w:rsidTr="2425A842">
        <w:tc>
          <w:tcPr>
            <w:cnfStyle w:val="001000000000" w:firstRow="0" w:lastRow="0" w:firstColumn="1" w:lastColumn="0" w:oddVBand="0" w:evenVBand="0" w:oddHBand="0" w:evenHBand="0" w:firstRowFirstColumn="0" w:firstRowLastColumn="0" w:lastRowFirstColumn="0" w:lastRowLastColumn="0"/>
            <w:tcW w:w="764" w:type="pct"/>
            <w:vMerge/>
          </w:tcPr>
          <w:p w14:paraId="0DB5A6C8" w14:textId="7CD6AC14" w:rsidR="00B86DD2" w:rsidRPr="00AB655A" w:rsidRDefault="00B86DD2" w:rsidP="00B41E54">
            <w:pPr>
              <w:pStyle w:val="ListParagraph"/>
              <w:numPr>
                <w:ilvl w:val="1"/>
                <w:numId w:val="11"/>
              </w:numPr>
              <w:rPr>
                <w:rFonts w:asciiTheme="majorHAnsi" w:eastAsia="MS Mincho" w:hAnsiTheme="majorHAnsi" w:cstheme="majorHAnsi"/>
                <w:bCs w:val="0"/>
                <w:sz w:val="22"/>
                <w:szCs w:val="22"/>
                <w:lang w:val="en-US"/>
              </w:rPr>
            </w:pPr>
          </w:p>
        </w:tc>
        <w:tc>
          <w:tcPr>
            <w:cnfStyle w:val="000010000000" w:firstRow="0" w:lastRow="0" w:firstColumn="0" w:lastColumn="0" w:oddVBand="1" w:evenVBand="0" w:oddHBand="0" w:evenHBand="0" w:firstRowFirstColumn="0" w:firstRowLastColumn="0" w:lastRowFirstColumn="0" w:lastRowLastColumn="0"/>
            <w:tcW w:w="969" w:type="pct"/>
          </w:tcPr>
          <w:p w14:paraId="03A4D885" w14:textId="7A121346" w:rsidR="00B86DD2" w:rsidRPr="00AB655A" w:rsidRDefault="00B86DD2" w:rsidP="00A738B9">
            <w:pPr>
              <w:rPr>
                <w:rFonts w:asciiTheme="majorHAnsi" w:eastAsia="MS Mincho" w:hAnsiTheme="majorHAnsi" w:cstheme="majorHAnsi"/>
                <w:bCs/>
                <w:lang w:val="en-US"/>
              </w:rPr>
            </w:pPr>
            <w:r w:rsidRPr="00AB655A">
              <w:rPr>
                <w:rFonts w:asciiTheme="majorHAnsi" w:eastAsia="MS Mincho" w:hAnsiTheme="majorHAnsi" w:cstheme="majorHAnsi"/>
                <w:bCs/>
                <w:lang w:val="en-US"/>
              </w:rPr>
              <w:t xml:space="preserve">2.1.2 </w:t>
            </w:r>
            <w:r w:rsidR="005552B6" w:rsidRPr="00AB655A">
              <w:rPr>
                <w:rFonts w:asciiTheme="majorHAnsi" w:eastAsia="MS Mincho" w:hAnsiTheme="majorHAnsi" w:cstheme="majorHAnsi"/>
                <w:bCs/>
                <w:lang w:val="en-US"/>
              </w:rPr>
              <w:t xml:space="preserve">Include the gender variable as an enforceable criterion of assessment, pertinence, relevance, and evaluation of results in the policies, programs, and projects </w:t>
            </w:r>
            <w:r w:rsidR="00DD0FC6" w:rsidRPr="00AB655A">
              <w:rPr>
                <w:rFonts w:asciiTheme="majorHAnsi" w:eastAsia="MS Mincho" w:hAnsiTheme="majorHAnsi" w:cstheme="majorHAnsi"/>
                <w:bCs/>
                <w:lang w:val="en-US"/>
              </w:rPr>
              <w:t xml:space="preserve">that the institution approves and implements. </w:t>
            </w:r>
          </w:p>
          <w:p w14:paraId="0CCC035A" w14:textId="0C92212B" w:rsidR="005552B6" w:rsidRPr="00AB655A" w:rsidRDefault="005552B6" w:rsidP="00A738B9">
            <w:pPr>
              <w:rPr>
                <w:rFonts w:asciiTheme="majorHAnsi" w:eastAsia="MS Mincho" w:hAnsiTheme="majorHAnsi" w:cstheme="majorHAnsi"/>
                <w:bCs/>
                <w:lang w:val="en-US"/>
              </w:rPr>
            </w:pPr>
          </w:p>
        </w:tc>
        <w:tc>
          <w:tcPr>
            <w:tcW w:w="613" w:type="pct"/>
          </w:tcPr>
          <w:p w14:paraId="36CBF619" w14:textId="69D493C3" w:rsidR="00B86DD2" w:rsidRPr="00AB655A" w:rsidRDefault="00DD0FC6"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Planning Unit</w:t>
            </w:r>
          </w:p>
          <w:p w14:paraId="2265FC13" w14:textId="77777777" w:rsidR="00DD0FC6" w:rsidRPr="00AB655A" w:rsidRDefault="00DD0FC6" w:rsidP="00DD0FC6">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p w14:paraId="6CE9F54F" w14:textId="3F6EEA24" w:rsidR="00F13DC9" w:rsidRPr="00AB655A" w:rsidRDefault="00DD0FC6" w:rsidP="00B41E54">
            <w:pPr>
              <w:pStyle w:val="ListParagraph"/>
              <w:numPr>
                <w:ilvl w:val="0"/>
                <w:numId w:val="14"/>
              </w:numPr>
              <w:ind w:left="185" w:hanging="185"/>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Cooperating entities</w:t>
            </w:r>
          </w:p>
          <w:p w14:paraId="09A94C1F" w14:textId="3490F41B" w:rsidR="00F13DC9" w:rsidRPr="00AB655A" w:rsidRDefault="00DD0FC6" w:rsidP="00B41E54">
            <w:pPr>
              <w:pStyle w:val="ListParagraph"/>
              <w:numPr>
                <w:ilvl w:val="0"/>
                <w:numId w:val="14"/>
              </w:numPr>
              <w:ind w:left="185" w:hanging="185"/>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State and private training entities</w:t>
            </w:r>
          </w:p>
        </w:tc>
        <w:tc>
          <w:tcPr>
            <w:cnfStyle w:val="000010000000" w:firstRow="0" w:lastRow="0" w:firstColumn="0" w:lastColumn="0" w:oddVBand="1" w:evenVBand="0" w:oddHBand="0" w:evenHBand="0" w:firstRowFirstColumn="0" w:firstRowLastColumn="0" w:lastRowFirstColumn="0" w:lastRowLastColumn="0"/>
            <w:tcW w:w="561" w:type="pct"/>
          </w:tcPr>
          <w:p w14:paraId="3ED9EC1F" w14:textId="2F16E5AB" w:rsidR="00B86DD2" w:rsidRPr="00AB655A" w:rsidRDefault="00DD0FC6" w:rsidP="00DD0FC6">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who received prior training on integrating a gender approach in policies, programs, and projects.</w:t>
            </w:r>
          </w:p>
        </w:tc>
        <w:tc>
          <w:tcPr>
            <w:tcW w:w="459" w:type="pct"/>
          </w:tcPr>
          <w:p w14:paraId="4B9D312D" w14:textId="6363D6F0" w:rsidR="00B86DD2" w:rsidRPr="00AB655A" w:rsidRDefault="00DD0FC6" w:rsidP="00A738B9">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r w:rsidRPr="00AB655A">
              <w:rPr>
                <w:rFonts w:asciiTheme="majorHAnsi" w:eastAsia="MS Mincho" w:hAnsiTheme="majorHAnsi" w:cstheme="majorHAnsi"/>
                <w:bCs/>
                <w:lang w:val="en-US"/>
              </w:rPr>
              <w:t>Medium and long-term</w:t>
            </w:r>
          </w:p>
          <w:p w14:paraId="49443734" w14:textId="2D30FE6C" w:rsidR="00B86DD2" w:rsidRPr="00AB655A" w:rsidRDefault="00B86DD2" w:rsidP="00A738B9">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p>
        </w:tc>
        <w:tc>
          <w:tcPr>
            <w:cnfStyle w:val="000010000000" w:firstRow="0" w:lastRow="0" w:firstColumn="0" w:lastColumn="0" w:oddVBand="1" w:evenVBand="0" w:oddHBand="0" w:evenHBand="0" w:firstRowFirstColumn="0" w:firstRowLastColumn="0" w:lastRowFirstColumn="0" w:lastRowLastColumn="0"/>
            <w:tcW w:w="1123" w:type="pct"/>
          </w:tcPr>
          <w:p w14:paraId="3A5E8C2D" w14:textId="1ECE3705" w:rsidR="00A00210" w:rsidRPr="00AB655A" w:rsidRDefault="00DD0FC6"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The gender variable is an enforceable criterion in the evaluation of new policies, programs, and projects of the institution.</w:t>
            </w:r>
          </w:p>
          <w:p w14:paraId="3825E37D" w14:textId="6F7A17AE" w:rsidR="003A550F" w:rsidRPr="00AB655A" w:rsidRDefault="00DD0FC6"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All data used in the design, implementation, monitoring, and evaluation of policies, programs, and projects are—at the very least—disaggregated by sex and age.</w:t>
            </w:r>
          </w:p>
          <w:p w14:paraId="5906ACD7" w14:textId="7E79FF4A" w:rsidR="00DD0FC6" w:rsidRPr="00AB655A" w:rsidRDefault="00DD0FC6"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Gender indicators have been included to evaluate and monitor policies, programs, and projects.</w:t>
            </w:r>
          </w:p>
        </w:tc>
        <w:tc>
          <w:tcPr>
            <w:tcW w:w="511" w:type="pct"/>
          </w:tcPr>
          <w:p w14:paraId="7021A3F9" w14:textId="44F13736" w:rsidR="00B86DD2" w:rsidRPr="00AB655A" w:rsidRDefault="00DD0FC6"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Protocol to evaluate policies, programs, and projects of the institution.</w:t>
            </w:r>
          </w:p>
        </w:tc>
      </w:tr>
      <w:tr w:rsidR="00F13DC9" w:rsidRPr="00ED097B" w14:paraId="42F3095B" w14:textId="77777777" w:rsidTr="2425A84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764" w:type="pct"/>
            <w:vMerge/>
          </w:tcPr>
          <w:p w14:paraId="76FCAA71" w14:textId="0E871A77" w:rsidR="00F13DC9" w:rsidRPr="00AB655A" w:rsidRDefault="00F13DC9" w:rsidP="00A738B9">
            <w:pPr>
              <w:rPr>
                <w:rFonts w:asciiTheme="majorHAnsi" w:eastAsia="MS Mincho" w:hAnsiTheme="majorHAnsi" w:cstheme="majorHAnsi"/>
                <w:bCs w:val="0"/>
                <w:color w:val="000000"/>
                <w:sz w:val="22"/>
                <w:szCs w:val="22"/>
                <w:lang w:val="en-US" w:eastAsia="es-ES"/>
              </w:rPr>
            </w:pPr>
          </w:p>
        </w:tc>
        <w:tc>
          <w:tcPr>
            <w:cnfStyle w:val="000010000000" w:firstRow="0" w:lastRow="0" w:firstColumn="0" w:lastColumn="0" w:oddVBand="1" w:evenVBand="0" w:oddHBand="0" w:evenHBand="0" w:firstRowFirstColumn="0" w:firstRowLastColumn="0" w:lastRowFirstColumn="0" w:lastRowLastColumn="0"/>
            <w:tcW w:w="969" w:type="pct"/>
          </w:tcPr>
          <w:p w14:paraId="2943AC60" w14:textId="173934B4" w:rsidR="00DD0FC6" w:rsidRPr="00AB655A" w:rsidRDefault="00F13DC9" w:rsidP="00601C1A">
            <w:pPr>
              <w:rPr>
                <w:rFonts w:asciiTheme="majorHAnsi" w:eastAsia="MS Mincho" w:hAnsiTheme="majorHAnsi" w:cstheme="majorHAnsi"/>
                <w:bCs/>
                <w:color w:val="000000"/>
                <w:lang w:val="en-US" w:eastAsia="es-ES"/>
              </w:rPr>
            </w:pPr>
            <w:r w:rsidRPr="00AB655A">
              <w:rPr>
                <w:rFonts w:asciiTheme="majorHAnsi" w:eastAsia="MS Mincho" w:hAnsiTheme="majorHAnsi" w:cstheme="majorHAnsi"/>
                <w:bCs/>
                <w:color w:val="000000"/>
                <w:lang w:val="en-US" w:eastAsia="es-ES"/>
              </w:rPr>
              <w:t xml:space="preserve">2.1.3 </w:t>
            </w:r>
            <w:r w:rsidR="00DD0FC6" w:rsidRPr="00AB655A">
              <w:rPr>
                <w:rFonts w:asciiTheme="majorHAnsi" w:eastAsia="MS Mincho" w:hAnsiTheme="majorHAnsi" w:cstheme="majorHAnsi"/>
                <w:bCs/>
                <w:color w:val="000000"/>
                <w:lang w:val="en-US" w:eastAsia="es-ES"/>
              </w:rPr>
              <w:t>Develop the necessary technical instructions to establish gender indicators in the Annual Work Plans of every unit in the institution.</w:t>
            </w:r>
          </w:p>
          <w:p w14:paraId="2F3A800E" w14:textId="169AB1B4" w:rsidR="007B5429" w:rsidRPr="00AB655A" w:rsidRDefault="007B5429" w:rsidP="00601C1A">
            <w:pPr>
              <w:rPr>
                <w:rFonts w:asciiTheme="majorHAnsi" w:eastAsia="MS Mincho" w:hAnsiTheme="majorHAnsi" w:cstheme="majorHAnsi"/>
                <w:bCs/>
                <w:lang w:val="en-US"/>
              </w:rPr>
            </w:pPr>
          </w:p>
        </w:tc>
        <w:tc>
          <w:tcPr>
            <w:tcW w:w="613" w:type="pct"/>
            <w:vMerge w:val="restart"/>
            <w:vAlign w:val="center"/>
          </w:tcPr>
          <w:p w14:paraId="46B63D1C" w14:textId="53A9D6B9" w:rsidR="00F13DC9" w:rsidRPr="00AB655A" w:rsidRDefault="00DD0FC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Planning Unit</w:t>
            </w:r>
          </w:p>
          <w:p w14:paraId="585333E3" w14:textId="061CCA84" w:rsidR="00F13DC9" w:rsidRPr="00AB655A" w:rsidRDefault="00DD0FC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p w14:paraId="0AFA67B5" w14:textId="1FCFDF2C" w:rsidR="00F13DC9" w:rsidRPr="00AB655A" w:rsidRDefault="00DD0FC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hAnsiTheme="majorHAnsi" w:cstheme="majorHAnsi"/>
                <w:lang w:val="en-US"/>
              </w:rPr>
              <w:t>National Mechanism for the Advancement of Women</w:t>
            </w:r>
          </w:p>
          <w:p w14:paraId="6BED6BCB" w14:textId="19364410" w:rsidR="00F13DC9" w:rsidRPr="00AB655A" w:rsidRDefault="00DD0FC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Cooperating entities</w:t>
            </w:r>
          </w:p>
        </w:tc>
        <w:tc>
          <w:tcPr>
            <w:cnfStyle w:val="000010000000" w:firstRow="0" w:lastRow="0" w:firstColumn="0" w:lastColumn="0" w:oddVBand="1" w:evenVBand="0" w:oddHBand="0" w:evenHBand="0" w:firstRowFirstColumn="0" w:firstRowLastColumn="0" w:lastRowFirstColumn="0" w:lastRowLastColumn="0"/>
            <w:tcW w:w="561" w:type="pct"/>
            <w:vMerge w:val="restart"/>
          </w:tcPr>
          <w:p w14:paraId="7C6989A1" w14:textId="33A47792" w:rsidR="00F13DC9" w:rsidRPr="00AB655A" w:rsidRDefault="00A80F30" w:rsidP="00A80F30">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with training on developing gender indicators.</w:t>
            </w:r>
          </w:p>
        </w:tc>
        <w:tc>
          <w:tcPr>
            <w:tcW w:w="459" w:type="pct"/>
            <w:vMerge w:val="restart"/>
          </w:tcPr>
          <w:p w14:paraId="56269F6B" w14:textId="3360F999" w:rsidR="00F13DC9" w:rsidRPr="00AB655A" w:rsidRDefault="00A80F30" w:rsidP="00A80F30">
            <w:pPr>
              <w:ind w:right="-23"/>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color w:val="000000"/>
                <w:lang w:val="en-US" w:eastAsia="es-ES"/>
              </w:rPr>
            </w:pPr>
            <w:r w:rsidRPr="00AB655A">
              <w:rPr>
                <w:rFonts w:asciiTheme="majorHAnsi" w:eastAsia="MS Mincho" w:hAnsiTheme="majorHAnsi" w:cstheme="majorHAnsi"/>
                <w:bCs/>
                <w:color w:val="000000"/>
                <w:lang w:val="en-US" w:eastAsia="es-ES"/>
              </w:rPr>
              <w:t>Before the development of the next Annual Work Plans.</w:t>
            </w:r>
          </w:p>
          <w:p w14:paraId="477A2AAC" w14:textId="5A9A5C0A" w:rsidR="00F13DC9" w:rsidRPr="00AB655A" w:rsidRDefault="00F13DC9" w:rsidP="00A738B9">
            <w:pPr>
              <w:ind w:left="31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p>
        </w:tc>
        <w:tc>
          <w:tcPr>
            <w:cnfStyle w:val="000010000000" w:firstRow="0" w:lastRow="0" w:firstColumn="0" w:lastColumn="0" w:oddVBand="1" w:evenVBand="0" w:oddHBand="0" w:evenHBand="0" w:firstRowFirstColumn="0" w:firstRowLastColumn="0" w:lastRowFirstColumn="0" w:lastRowLastColumn="0"/>
            <w:tcW w:w="1123" w:type="pct"/>
            <w:vMerge w:val="restart"/>
          </w:tcPr>
          <w:p w14:paraId="5CE5AD97" w14:textId="09D505FC" w:rsidR="00F13DC9" w:rsidRPr="00AB655A" w:rsidRDefault="00A80F30"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The Annual Work Plans from the entire institution include gender indicators. </w:t>
            </w:r>
          </w:p>
          <w:p w14:paraId="7219C62E" w14:textId="77777777" w:rsidR="007B5429" w:rsidRPr="00AB655A" w:rsidRDefault="007B5429" w:rsidP="007B5429">
            <w:pPr>
              <w:pStyle w:val="ListParagraph"/>
              <w:ind w:left="167"/>
              <w:rPr>
                <w:rFonts w:asciiTheme="majorHAnsi" w:eastAsia="MS Mincho" w:hAnsiTheme="majorHAnsi" w:cstheme="majorHAnsi"/>
                <w:lang w:val="en-US"/>
              </w:rPr>
            </w:pPr>
          </w:p>
          <w:p w14:paraId="34C3E638" w14:textId="59B6A600" w:rsidR="00F13DC9" w:rsidRPr="00AB655A" w:rsidRDefault="00A80F30"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Gender indicators are included in monthly monitoring reports and quarterly evaluations.</w:t>
            </w:r>
          </w:p>
        </w:tc>
        <w:tc>
          <w:tcPr>
            <w:tcW w:w="511" w:type="pct"/>
            <w:vMerge w:val="restart"/>
          </w:tcPr>
          <w:p w14:paraId="148AD70C" w14:textId="6FF1C062" w:rsidR="00F13DC9" w:rsidRPr="00AB655A" w:rsidRDefault="00A80F30"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Approved Annual Work Plans</w:t>
            </w:r>
          </w:p>
          <w:p w14:paraId="2D68ADB8" w14:textId="5840BA78" w:rsidR="00F13DC9" w:rsidRPr="00AB655A" w:rsidRDefault="005B71DC"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Minutes</w:t>
            </w:r>
            <w:r w:rsidR="00A80F30" w:rsidRPr="00AB655A">
              <w:rPr>
                <w:rFonts w:asciiTheme="majorHAnsi" w:eastAsia="MS Mincho" w:hAnsiTheme="majorHAnsi" w:cstheme="majorHAnsi"/>
                <w:lang w:val="en-US"/>
              </w:rPr>
              <w:t xml:space="preserve"> from meetings</w:t>
            </w:r>
          </w:p>
          <w:p w14:paraId="5A63D519" w14:textId="10C6ADCF" w:rsidR="00F13DC9" w:rsidRPr="00AB655A" w:rsidRDefault="00A80F30"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Gender-sensitive indicators included in Annual Work Plans</w:t>
            </w:r>
          </w:p>
        </w:tc>
      </w:tr>
      <w:tr w:rsidR="00F13DC9" w:rsidRPr="00ED097B" w14:paraId="7BDA7C92"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764" w:type="pct"/>
            <w:vMerge/>
          </w:tcPr>
          <w:p w14:paraId="53204133" w14:textId="700EFE00" w:rsidR="00F13DC9" w:rsidRPr="00AB655A" w:rsidRDefault="00F13DC9" w:rsidP="00A738B9">
            <w:pPr>
              <w:rPr>
                <w:rFonts w:asciiTheme="majorHAnsi" w:eastAsia="MS Mincho" w:hAnsiTheme="majorHAnsi" w:cstheme="majorHAnsi"/>
                <w:bCs w:val="0"/>
                <w:color w:val="000000"/>
                <w:sz w:val="22"/>
                <w:szCs w:val="22"/>
                <w:lang w:val="en-US" w:eastAsia="es-ES"/>
              </w:rPr>
            </w:pPr>
          </w:p>
        </w:tc>
        <w:tc>
          <w:tcPr>
            <w:cnfStyle w:val="000010000000" w:firstRow="0" w:lastRow="0" w:firstColumn="0" w:lastColumn="0" w:oddVBand="1" w:evenVBand="0" w:oddHBand="0" w:evenHBand="0" w:firstRowFirstColumn="0" w:firstRowLastColumn="0" w:lastRowFirstColumn="0" w:lastRowLastColumn="0"/>
            <w:tcW w:w="969" w:type="pct"/>
          </w:tcPr>
          <w:p w14:paraId="0E0F8827" w14:textId="02340666" w:rsidR="007B5429" w:rsidRPr="00AB655A" w:rsidRDefault="00F13DC9" w:rsidP="00DD0FC6">
            <w:pPr>
              <w:rPr>
                <w:rFonts w:asciiTheme="majorHAnsi" w:eastAsia="MS Mincho" w:hAnsiTheme="majorHAnsi" w:cstheme="majorHAnsi"/>
                <w:bCs/>
                <w:lang w:val="en-US"/>
              </w:rPr>
            </w:pPr>
            <w:r w:rsidRPr="00AB655A">
              <w:rPr>
                <w:rFonts w:asciiTheme="majorHAnsi" w:eastAsia="MS Mincho" w:hAnsiTheme="majorHAnsi" w:cstheme="majorHAnsi"/>
                <w:bCs/>
                <w:color w:val="000000"/>
                <w:lang w:val="en-US" w:eastAsia="es-ES"/>
              </w:rPr>
              <w:t xml:space="preserve">2.1.4 </w:t>
            </w:r>
            <w:r w:rsidR="00DD0FC6" w:rsidRPr="00AB655A">
              <w:rPr>
                <w:rFonts w:asciiTheme="majorHAnsi" w:eastAsia="MS Mincho" w:hAnsiTheme="majorHAnsi" w:cstheme="majorHAnsi"/>
                <w:bCs/>
                <w:lang w:val="en-US"/>
              </w:rPr>
              <w:t>Work with departments and offices to identify gender-sensitive indicators to be included in the Annual Work Plans.</w:t>
            </w:r>
          </w:p>
        </w:tc>
        <w:tc>
          <w:tcPr>
            <w:tcW w:w="613" w:type="pct"/>
            <w:vMerge/>
          </w:tcPr>
          <w:p w14:paraId="04E70255" w14:textId="77777777" w:rsidR="00F13DC9" w:rsidRPr="00AB655A" w:rsidRDefault="00F13DC9" w:rsidP="00A738B9">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561" w:type="pct"/>
            <w:vMerge/>
          </w:tcPr>
          <w:p w14:paraId="2D513944" w14:textId="77777777" w:rsidR="00F13DC9" w:rsidRPr="00AB655A" w:rsidRDefault="00F13DC9" w:rsidP="00A738B9">
            <w:pPr>
              <w:rPr>
                <w:rFonts w:asciiTheme="majorHAnsi" w:eastAsia="MS Mincho" w:hAnsiTheme="majorHAnsi" w:cstheme="majorHAnsi"/>
                <w:bCs/>
                <w:lang w:val="en-US"/>
              </w:rPr>
            </w:pPr>
          </w:p>
        </w:tc>
        <w:tc>
          <w:tcPr>
            <w:tcW w:w="459" w:type="pct"/>
            <w:vMerge/>
          </w:tcPr>
          <w:p w14:paraId="200EBCFF" w14:textId="77777777" w:rsidR="00F13DC9" w:rsidRPr="00AB655A" w:rsidRDefault="00F13DC9" w:rsidP="00B41E54">
            <w:pPr>
              <w:numPr>
                <w:ilvl w:val="1"/>
                <w:numId w:val="5"/>
              </w:numPr>
              <w:ind w:left="317" w:hanging="31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p>
        </w:tc>
        <w:tc>
          <w:tcPr>
            <w:cnfStyle w:val="000010000000" w:firstRow="0" w:lastRow="0" w:firstColumn="0" w:lastColumn="0" w:oddVBand="1" w:evenVBand="0" w:oddHBand="0" w:evenHBand="0" w:firstRowFirstColumn="0" w:firstRowLastColumn="0" w:lastRowFirstColumn="0" w:lastRowLastColumn="0"/>
            <w:tcW w:w="1123" w:type="pct"/>
            <w:vMerge/>
          </w:tcPr>
          <w:p w14:paraId="2BD8E3E9" w14:textId="1C46D1EA" w:rsidR="00F13DC9" w:rsidRPr="00AB655A" w:rsidRDefault="00F13DC9" w:rsidP="00A738B9">
            <w:pPr>
              <w:rPr>
                <w:rFonts w:asciiTheme="majorHAnsi" w:eastAsia="MS Mincho" w:hAnsiTheme="majorHAnsi" w:cstheme="majorHAnsi"/>
                <w:bCs/>
                <w:lang w:val="en-US"/>
              </w:rPr>
            </w:pPr>
          </w:p>
        </w:tc>
        <w:tc>
          <w:tcPr>
            <w:tcW w:w="511" w:type="pct"/>
            <w:vMerge/>
          </w:tcPr>
          <w:p w14:paraId="3AAC3783" w14:textId="77777777" w:rsidR="00F13DC9" w:rsidRPr="00AB655A" w:rsidRDefault="00F13DC9" w:rsidP="00A738B9">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p>
        </w:tc>
      </w:tr>
      <w:tr w:rsidR="00F13DC9" w:rsidRPr="00ED097B" w14:paraId="1733909C"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64" w:type="pct"/>
            <w:vMerge/>
          </w:tcPr>
          <w:p w14:paraId="79523F64" w14:textId="77777777" w:rsidR="00F13DC9" w:rsidRPr="00AB655A" w:rsidRDefault="00F13DC9" w:rsidP="006644CD">
            <w:pPr>
              <w:rPr>
                <w:rFonts w:asciiTheme="majorHAnsi" w:eastAsia="MS Mincho" w:hAnsiTheme="majorHAnsi" w:cstheme="majorHAnsi"/>
                <w:bCs w:val="0"/>
                <w:color w:val="000000"/>
                <w:sz w:val="22"/>
                <w:szCs w:val="22"/>
                <w:lang w:val="en-US" w:eastAsia="es-ES"/>
              </w:rPr>
            </w:pPr>
          </w:p>
        </w:tc>
        <w:tc>
          <w:tcPr>
            <w:cnfStyle w:val="000010000000" w:firstRow="0" w:lastRow="0" w:firstColumn="0" w:lastColumn="0" w:oddVBand="1" w:evenVBand="0" w:oddHBand="0" w:evenHBand="0" w:firstRowFirstColumn="0" w:firstRowLastColumn="0" w:lastRowFirstColumn="0" w:lastRowLastColumn="0"/>
            <w:tcW w:w="969" w:type="pct"/>
          </w:tcPr>
          <w:p w14:paraId="6356D856" w14:textId="788B803E" w:rsidR="00F13DC9" w:rsidRPr="00AB655A" w:rsidRDefault="00F13DC9" w:rsidP="00A80F30">
            <w:pPr>
              <w:rPr>
                <w:rFonts w:asciiTheme="majorHAnsi" w:eastAsia="MS Mincho" w:hAnsiTheme="majorHAnsi" w:cstheme="majorHAnsi"/>
                <w:bCs/>
                <w:color w:val="000000"/>
                <w:lang w:val="en-US" w:eastAsia="es-ES"/>
              </w:rPr>
            </w:pPr>
            <w:r w:rsidRPr="00AB655A">
              <w:rPr>
                <w:rFonts w:asciiTheme="majorHAnsi" w:eastAsia="MS Mincho" w:hAnsiTheme="majorHAnsi" w:cstheme="majorHAnsi"/>
                <w:bCs/>
                <w:color w:val="000000"/>
                <w:lang w:val="en-US" w:eastAsia="es-ES"/>
              </w:rPr>
              <w:t xml:space="preserve">2.1.5 </w:t>
            </w:r>
            <w:r w:rsidR="00A80F30" w:rsidRPr="00AB655A">
              <w:rPr>
                <w:rFonts w:asciiTheme="majorHAnsi" w:eastAsia="MS Mincho" w:hAnsiTheme="majorHAnsi" w:cstheme="majorHAnsi"/>
                <w:bCs/>
                <w:color w:val="000000"/>
                <w:lang w:val="en-US" w:eastAsia="es-ES"/>
              </w:rPr>
              <w:t>Incorporate the gender approach in the monitoring and evaluation system of institutional programs and projects.</w:t>
            </w:r>
          </w:p>
        </w:tc>
        <w:tc>
          <w:tcPr>
            <w:tcW w:w="613" w:type="pct"/>
            <w:vMerge/>
          </w:tcPr>
          <w:p w14:paraId="15B64292" w14:textId="77777777" w:rsidR="00F13DC9" w:rsidRPr="00AB655A" w:rsidRDefault="00F13DC9" w:rsidP="006644CD">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561" w:type="pct"/>
          </w:tcPr>
          <w:p w14:paraId="0C24A107" w14:textId="0457A357" w:rsidR="00F13DC9" w:rsidRPr="00AB655A" w:rsidRDefault="00A80F30" w:rsidP="00A80F30">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from the competent unit with prior training on Strategic Planning and Gender Indicators.</w:t>
            </w:r>
          </w:p>
        </w:tc>
        <w:tc>
          <w:tcPr>
            <w:tcW w:w="459" w:type="pct"/>
          </w:tcPr>
          <w:p w14:paraId="74422FAE" w14:textId="77777777" w:rsidR="00F13DC9" w:rsidRPr="00AB655A" w:rsidRDefault="00F13DC9" w:rsidP="006644CD">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p>
        </w:tc>
        <w:tc>
          <w:tcPr>
            <w:cnfStyle w:val="000010000000" w:firstRow="0" w:lastRow="0" w:firstColumn="0" w:lastColumn="0" w:oddVBand="1" w:evenVBand="0" w:oddHBand="0" w:evenHBand="0" w:firstRowFirstColumn="0" w:firstRowLastColumn="0" w:lastRowFirstColumn="0" w:lastRowLastColumn="0"/>
            <w:tcW w:w="1123" w:type="pct"/>
          </w:tcPr>
          <w:p w14:paraId="2A2C1183" w14:textId="31547F26" w:rsidR="00A80F30" w:rsidRPr="00AB655A" w:rsidRDefault="00A80F30" w:rsidP="006644CD">
            <w:pPr>
              <w:rPr>
                <w:rFonts w:asciiTheme="majorHAnsi" w:eastAsia="MS Mincho" w:hAnsiTheme="majorHAnsi" w:cstheme="majorHAnsi"/>
                <w:bCs/>
                <w:lang w:val="en-US"/>
              </w:rPr>
            </w:pPr>
            <w:r w:rsidRPr="00AB655A">
              <w:rPr>
                <w:rFonts w:asciiTheme="majorHAnsi" w:eastAsia="MS Mincho" w:hAnsiTheme="majorHAnsi" w:cstheme="majorHAnsi"/>
                <w:bCs/>
                <w:lang w:val="en-US"/>
              </w:rPr>
              <w:t>Monitored and evaluated projects by a gender monitoring and evaluation system, which measures progress in its practical implementation and the results on the matter.</w:t>
            </w:r>
          </w:p>
        </w:tc>
        <w:tc>
          <w:tcPr>
            <w:tcW w:w="511" w:type="pct"/>
          </w:tcPr>
          <w:p w14:paraId="77A88642" w14:textId="77777777" w:rsidR="00F13DC9" w:rsidRPr="00AB655A" w:rsidRDefault="00F13DC9" w:rsidP="006644CD">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p>
        </w:tc>
      </w:tr>
      <w:tr w:rsidR="00A00210" w:rsidRPr="00ED097B" w14:paraId="444A0117"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764" w:type="pct"/>
            <w:vMerge w:val="restart"/>
          </w:tcPr>
          <w:p w14:paraId="568F4820" w14:textId="506A9648" w:rsidR="006644CD" w:rsidRPr="00AB655A" w:rsidRDefault="00B22AF3" w:rsidP="00B22AF3">
            <w:pPr>
              <w:pStyle w:val="ListParagraph"/>
              <w:numPr>
                <w:ilvl w:val="1"/>
                <w:numId w:val="13"/>
              </w:numPr>
              <w:rPr>
                <w:rFonts w:asciiTheme="majorHAnsi" w:eastAsia="MS Mincho" w:hAnsiTheme="majorHAnsi" w:cstheme="majorHAnsi"/>
                <w:bCs w:val="0"/>
                <w:sz w:val="22"/>
                <w:szCs w:val="22"/>
                <w:lang w:val="en-US"/>
              </w:rPr>
            </w:pPr>
            <w:r w:rsidRPr="00AB655A">
              <w:rPr>
                <w:rFonts w:asciiTheme="majorHAnsi" w:eastAsia="MS Mincho" w:hAnsiTheme="majorHAnsi" w:cstheme="majorHAnsi"/>
                <w:sz w:val="22"/>
                <w:szCs w:val="22"/>
                <w:lang w:val="en-US"/>
              </w:rPr>
              <w:t xml:space="preserve">Ensure that sex-disaggregated sources and data </w:t>
            </w:r>
            <w:r w:rsidRPr="00AB655A">
              <w:rPr>
                <w:rFonts w:asciiTheme="majorHAnsi" w:eastAsia="MS Mincho" w:hAnsiTheme="majorHAnsi" w:cstheme="majorHAnsi"/>
                <w:sz w:val="22"/>
                <w:szCs w:val="22"/>
                <w:lang w:val="en-US"/>
              </w:rPr>
              <w:lastRenderedPageBreak/>
              <w:t>regarding the labor sphere are available</w:t>
            </w:r>
          </w:p>
        </w:tc>
        <w:tc>
          <w:tcPr>
            <w:cnfStyle w:val="000010000000" w:firstRow="0" w:lastRow="0" w:firstColumn="0" w:lastColumn="0" w:oddVBand="1" w:evenVBand="0" w:oddHBand="0" w:evenHBand="0" w:firstRowFirstColumn="0" w:firstRowLastColumn="0" w:lastRowFirstColumn="0" w:lastRowLastColumn="0"/>
            <w:tcW w:w="969" w:type="pct"/>
          </w:tcPr>
          <w:p w14:paraId="51CEE8BD" w14:textId="2E33650E" w:rsidR="006644CD" w:rsidRPr="00AB655A" w:rsidRDefault="00060065" w:rsidP="004C4B3B">
            <w:pPr>
              <w:rPr>
                <w:rFonts w:asciiTheme="majorHAnsi" w:eastAsia="MS Mincho" w:hAnsiTheme="majorHAnsi" w:cstheme="majorHAnsi"/>
                <w:bCs/>
                <w:color w:val="000000"/>
                <w:lang w:val="en-US" w:eastAsia="es-ES"/>
              </w:rPr>
            </w:pPr>
            <w:r w:rsidRPr="00AB655A">
              <w:rPr>
                <w:rFonts w:asciiTheme="majorHAnsi" w:eastAsia="MS Mincho" w:hAnsiTheme="majorHAnsi" w:cstheme="majorHAnsi"/>
                <w:bCs/>
                <w:lang w:val="en-US"/>
              </w:rPr>
              <w:lastRenderedPageBreak/>
              <w:t xml:space="preserve">2.2.1 </w:t>
            </w:r>
            <w:r w:rsidR="004C4B3B" w:rsidRPr="00AB655A">
              <w:rPr>
                <w:rFonts w:asciiTheme="majorHAnsi" w:eastAsia="MS Mincho" w:hAnsiTheme="majorHAnsi" w:cstheme="majorHAnsi"/>
                <w:bCs/>
                <w:lang w:val="en-US"/>
              </w:rPr>
              <w:t>Prepare a list of sources of data and resources on gender to support the development of projects.</w:t>
            </w:r>
          </w:p>
        </w:tc>
        <w:tc>
          <w:tcPr>
            <w:tcW w:w="613" w:type="pct"/>
          </w:tcPr>
          <w:p w14:paraId="336B3AA3" w14:textId="04EBD34C" w:rsidR="00060065" w:rsidRPr="00AB655A" w:rsidRDefault="004C4B3B"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National Mechanism for the </w:t>
            </w:r>
            <w:r w:rsidRPr="00AB655A">
              <w:rPr>
                <w:rFonts w:asciiTheme="majorHAnsi" w:eastAsia="MS Mincho" w:hAnsiTheme="majorHAnsi" w:cstheme="majorHAnsi"/>
                <w:lang w:val="en-US"/>
              </w:rPr>
              <w:lastRenderedPageBreak/>
              <w:t>Advancement of Women</w:t>
            </w:r>
          </w:p>
          <w:p w14:paraId="6615AE93" w14:textId="120B186D" w:rsidR="004C4B3B" w:rsidRPr="00AB655A" w:rsidRDefault="004C4B3B"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National Statistics Office</w:t>
            </w:r>
          </w:p>
          <w:p w14:paraId="52C43663" w14:textId="2A71DCE9" w:rsidR="006644CD" w:rsidRPr="00AB655A" w:rsidRDefault="004C4B3B" w:rsidP="004C4B3B">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p w14:paraId="09C370D5" w14:textId="1D1F3F18" w:rsidR="00060065" w:rsidRPr="00AB655A" w:rsidRDefault="00060065" w:rsidP="00212B4B">
            <w:pPr>
              <w:pStyle w:val="ListParagraph"/>
              <w:ind w:left="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p>
        </w:tc>
        <w:tc>
          <w:tcPr>
            <w:cnfStyle w:val="000010000000" w:firstRow="0" w:lastRow="0" w:firstColumn="0" w:lastColumn="0" w:oddVBand="1" w:evenVBand="0" w:oddHBand="0" w:evenHBand="0" w:firstRowFirstColumn="0" w:firstRowLastColumn="0" w:lastRowFirstColumn="0" w:lastRowLastColumn="0"/>
            <w:tcW w:w="561" w:type="pct"/>
          </w:tcPr>
          <w:p w14:paraId="5A97B255" w14:textId="291D6916" w:rsidR="00F13DC9" w:rsidRPr="00AB655A" w:rsidRDefault="004C4B3B"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lastRenderedPageBreak/>
              <w:t xml:space="preserve">Human resources from the National </w:t>
            </w:r>
            <w:r w:rsidRPr="00AB655A">
              <w:rPr>
                <w:rFonts w:asciiTheme="majorHAnsi" w:eastAsia="MS Mincho" w:hAnsiTheme="majorHAnsi" w:cstheme="majorHAnsi"/>
                <w:lang w:val="en-US"/>
              </w:rPr>
              <w:lastRenderedPageBreak/>
              <w:t>Statistics Office.</w:t>
            </w:r>
          </w:p>
          <w:p w14:paraId="29CC4A83" w14:textId="2FDBA8B6" w:rsidR="00F13DC9" w:rsidRPr="00AB655A" w:rsidRDefault="004C4B3B"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from the Institution’s Statistics Office.</w:t>
            </w:r>
          </w:p>
        </w:tc>
        <w:tc>
          <w:tcPr>
            <w:tcW w:w="459" w:type="pct"/>
          </w:tcPr>
          <w:p w14:paraId="1D5340BC" w14:textId="77777777" w:rsidR="006644CD" w:rsidRPr="00AB655A" w:rsidRDefault="006644CD" w:rsidP="00360122">
            <w:pP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p>
        </w:tc>
        <w:tc>
          <w:tcPr>
            <w:cnfStyle w:val="000010000000" w:firstRow="0" w:lastRow="0" w:firstColumn="0" w:lastColumn="0" w:oddVBand="1" w:evenVBand="0" w:oddHBand="0" w:evenHBand="0" w:firstRowFirstColumn="0" w:firstRowLastColumn="0" w:lastRowFirstColumn="0" w:lastRowLastColumn="0"/>
            <w:tcW w:w="1123" w:type="pct"/>
          </w:tcPr>
          <w:p w14:paraId="1DE7282B" w14:textId="77777777" w:rsidR="006644CD" w:rsidRPr="00AB655A" w:rsidRDefault="006644CD" w:rsidP="006644CD">
            <w:pPr>
              <w:rPr>
                <w:rFonts w:asciiTheme="majorHAnsi" w:eastAsia="MS Mincho" w:hAnsiTheme="majorHAnsi" w:cstheme="majorHAnsi"/>
                <w:bCs/>
                <w:lang w:val="en-US"/>
              </w:rPr>
            </w:pPr>
          </w:p>
        </w:tc>
        <w:tc>
          <w:tcPr>
            <w:tcW w:w="511" w:type="pct"/>
          </w:tcPr>
          <w:p w14:paraId="47FCB21E" w14:textId="47F9E9BC" w:rsidR="006644CD" w:rsidRPr="00AB655A" w:rsidRDefault="004C4B3B" w:rsidP="004C4B3B">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Disaggregated data and necessary resources to </w:t>
            </w:r>
            <w:r w:rsidRPr="00AB655A">
              <w:rPr>
                <w:rFonts w:asciiTheme="majorHAnsi" w:eastAsia="MS Mincho" w:hAnsiTheme="majorHAnsi" w:cstheme="majorHAnsi"/>
                <w:lang w:val="en-US"/>
              </w:rPr>
              <w:lastRenderedPageBreak/>
              <w:t>design projects available on the Intranet.</w:t>
            </w:r>
          </w:p>
        </w:tc>
      </w:tr>
      <w:tr w:rsidR="00360122" w:rsidRPr="00ED097B" w14:paraId="780894CE"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64" w:type="pct"/>
            <w:vMerge/>
          </w:tcPr>
          <w:p w14:paraId="4975DBA4" w14:textId="0A333DBD" w:rsidR="006644CD" w:rsidRPr="00AB655A" w:rsidRDefault="006644CD" w:rsidP="006644CD">
            <w:pPr>
              <w:rPr>
                <w:rFonts w:asciiTheme="majorHAnsi" w:eastAsia="MS Mincho" w:hAnsiTheme="majorHAnsi" w:cstheme="majorHAnsi"/>
                <w:bCs w:val="0"/>
                <w:color w:val="000000"/>
                <w:sz w:val="22"/>
                <w:szCs w:val="22"/>
                <w:lang w:val="en-US" w:eastAsia="es-ES"/>
              </w:rPr>
            </w:pPr>
          </w:p>
        </w:tc>
        <w:tc>
          <w:tcPr>
            <w:cnfStyle w:val="000010000000" w:firstRow="0" w:lastRow="0" w:firstColumn="0" w:lastColumn="0" w:oddVBand="1" w:evenVBand="0" w:oddHBand="0" w:evenHBand="0" w:firstRowFirstColumn="0" w:firstRowLastColumn="0" w:lastRowFirstColumn="0" w:lastRowLastColumn="0"/>
            <w:tcW w:w="969" w:type="pct"/>
          </w:tcPr>
          <w:p w14:paraId="4977F79F" w14:textId="66FDA40C" w:rsidR="004C4B3B" w:rsidRPr="00AB655A" w:rsidRDefault="00060065" w:rsidP="004C4B3B">
            <w:pPr>
              <w:rPr>
                <w:rFonts w:asciiTheme="majorHAnsi" w:eastAsia="MS Mincho" w:hAnsiTheme="majorHAnsi" w:cstheme="majorHAnsi"/>
                <w:bCs/>
                <w:lang w:val="en-US"/>
              </w:rPr>
            </w:pPr>
            <w:r w:rsidRPr="00AB655A">
              <w:rPr>
                <w:rFonts w:asciiTheme="majorHAnsi" w:eastAsia="MS Mincho" w:hAnsiTheme="majorHAnsi" w:cstheme="majorHAnsi"/>
                <w:bCs/>
                <w:color w:val="000000"/>
                <w:lang w:val="en-US" w:eastAsia="es-ES"/>
              </w:rPr>
              <w:t xml:space="preserve">2.2.2 </w:t>
            </w:r>
            <w:r w:rsidR="004C4B3B" w:rsidRPr="00AB655A">
              <w:rPr>
                <w:rFonts w:asciiTheme="majorHAnsi" w:eastAsia="MS Mincho" w:hAnsiTheme="majorHAnsi" w:cstheme="majorHAnsi"/>
                <w:bCs/>
                <w:color w:val="000000"/>
                <w:lang w:val="en-US" w:eastAsia="es-ES"/>
              </w:rPr>
              <w:t>Develop an annual statistics plan that incorporates the collection, analysis, and dissemination of statistical information with a gender approach.</w:t>
            </w:r>
          </w:p>
        </w:tc>
        <w:tc>
          <w:tcPr>
            <w:tcW w:w="613" w:type="pct"/>
          </w:tcPr>
          <w:p w14:paraId="1F5D6339" w14:textId="3F4DB1D9" w:rsidR="006644CD" w:rsidRPr="00AB655A" w:rsidRDefault="004C4B3B"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National Statistics Office</w:t>
            </w:r>
          </w:p>
          <w:p w14:paraId="370317B5" w14:textId="303D20A4" w:rsidR="00060065" w:rsidRPr="00AB655A" w:rsidRDefault="004C4B3B"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Institution’s Statistics Office (or a similar office)</w:t>
            </w:r>
          </w:p>
          <w:p w14:paraId="5CB451CE" w14:textId="0344BB19" w:rsidR="006644CD" w:rsidRPr="00AB655A" w:rsidRDefault="004C4B3B"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Cooperating entities</w:t>
            </w:r>
          </w:p>
          <w:p w14:paraId="1A636ED3" w14:textId="4D528898" w:rsidR="006644CD" w:rsidRPr="00AB655A" w:rsidRDefault="006644CD" w:rsidP="00212B4B">
            <w:pPr>
              <w:pStyle w:val="ListParagraph"/>
              <w:ind w:left="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p>
        </w:tc>
        <w:tc>
          <w:tcPr>
            <w:cnfStyle w:val="000010000000" w:firstRow="0" w:lastRow="0" w:firstColumn="0" w:lastColumn="0" w:oddVBand="1" w:evenVBand="0" w:oddHBand="0" w:evenHBand="0" w:firstRowFirstColumn="0" w:firstRowLastColumn="0" w:lastRowFirstColumn="0" w:lastRowLastColumn="0"/>
            <w:tcW w:w="561" w:type="pct"/>
          </w:tcPr>
          <w:p w14:paraId="3B56DA0F" w14:textId="68552CDC" w:rsidR="004C4B3B" w:rsidRPr="00AB655A" w:rsidRDefault="004C4B3B" w:rsidP="004C4B3B">
            <w:pPr>
              <w:pStyle w:val="ListParagraph"/>
              <w:numPr>
                <w:ilvl w:val="0"/>
                <w:numId w:val="14"/>
              </w:numPr>
              <w:ind w:left="210" w:hanging="210"/>
              <w:rPr>
                <w:rFonts w:asciiTheme="majorHAnsi" w:eastAsia="MS Mincho" w:hAnsiTheme="majorHAnsi" w:cstheme="majorHAnsi"/>
                <w:lang w:val="en-US"/>
              </w:rPr>
            </w:pPr>
            <w:r w:rsidRPr="00AB655A">
              <w:rPr>
                <w:rFonts w:asciiTheme="majorHAnsi" w:eastAsia="MS Mincho" w:hAnsiTheme="majorHAnsi" w:cstheme="majorHAnsi"/>
                <w:lang w:val="en-US"/>
              </w:rPr>
              <w:t>Human resources from the National Statistics Office.</w:t>
            </w:r>
          </w:p>
          <w:p w14:paraId="75312943" w14:textId="77777777" w:rsidR="004C4B3B" w:rsidRPr="00AB655A" w:rsidRDefault="004C4B3B"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from the Institution’s Statistics Office.</w:t>
            </w:r>
          </w:p>
          <w:p w14:paraId="739F42E1" w14:textId="474985C7" w:rsidR="006644CD" w:rsidRPr="00AB655A" w:rsidRDefault="004C4B3B"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Financial resources</w:t>
            </w:r>
          </w:p>
        </w:tc>
        <w:tc>
          <w:tcPr>
            <w:tcW w:w="459" w:type="pct"/>
          </w:tcPr>
          <w:p w14:paraId="3FD5B4B7" w14:textId="6A9E061F" w:rsidR="006644CD" w:rsidRPr="00AB655A" w:rsidRDefault="006644CD" w:rsidP="00601C1A">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r w:rsidRPr="00AB655A">
              <w:rPr>
                <w:rFonts w:asciiTheme="majorHAnsi" w:eastAsia="MS Mincho" w:hAnsiTheme="majorHAnsi" w:cstheme="majorHAnsi"/>
                <w:bCs/>
                <w:lang w:val="en-US"/>
              </w:rPr>
              <w:t>Continuo</w:t>
            </w:r>
            <w:r w:rsidR="004C4B3B" w:rsidRPr="00AB655A">
              <w:rPr>
                <w:rFonts w:asciiTheme="majorHAnsi" w:eastAsia="MS Mincho" w:hAnsiTheme="majorHAnsi" w:cstheme="majorHAnsi"/>
                <w:bCs/>
                <w:lang w:val="en-US"/>
              </w:rPr>
              <w:t>us</w:t>
            </w:r>
          </w:p>
        </w:tc>
        <w:tc>
          <w:tcPr>
            <w:cnfStyle w:val="000010000000" w:firstRow="0" w:lastRow="0" w:firstColumn="0" w:lastColumn="0" w:oddVBand="1" w:evenVBand="0" w:oddHBand="0" w:evenHBand="0" w:firstRowFirstColumn="0" w:firstRowLastColumn="0" w:lastRowFirstColumn="0" w:lastRowLastColumn="0"/>
            <w:tcW w:w="1123" w:type="pct"/>
          </w:tcPr>
          <w:p w14:paraId="1D3D67DD" w14:textId="69BFC940" w:rsidR="006644CD" w:rsidRPr="00AB655A" w:rsidRDefault="004C4B3B"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Indicators on the labor market </w:t>
            </w:r>
            <w:r w:rsidR="00AE084E" w:rsidRPr="00AB655A">
              <w:rPr>
                <w:rFonts w:asciiTheme="majorHAnsi" w:eastAsia="MS Mincho" w:hAnsiTheme="majorHAnsi" w:cstheme="majorHAnsi"/>
                <w:lang w:val="en-US"/>
              </w:rPr>
              <w:t>to monitor the situation of men and women.</w:t>
            </w:r>
          </w:p>
          <w:p w14:paraId="22072C1D" w14:textId="77777777" w:rsidR="007B5429" w:rsidRPr="00AB655A" w:rsidRDefault="007B5429" w:rsidP="007B5429">
            <w:pPr>
              <w:pStyle w:val="ListParagraph"/>
              <w:ind w:left="167"/>
              <w:rPr>
                <w:rFonts w:asciiTheme="majorHAnsi" w:eastAsia="MS Mincho" w:hAnsiTheme="majorHAnsi" w:cstheme="majorHAnsi"/>
                <w:lang w:val="en-US"/>
              </w:rPr>
            </w:pPr>
          </w:p>
          <w:p w14:paraId="04829771" w14:textId="4B615531" w:rsidR="006644CD" w:rsidRPr="00AB655A" w:rsidRDefault="00AE084E" w:rsidP="00AE084E">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Biannual and annual monitoring of gender indicators of the labor market.</w:t>
            </w:r>
          </w:p>
        </w:tc>
        <w:tc>
          <w:tcPr>
            <w:tcW w:w="511" w:type="pct"/>
          </w:tcPr>
          <w:p w14:paraId="78405957" w14:textId="779C2F07" w:rsidR="006644CD" w:rsidRPr="00AB655A" w:rsidRDefault="00AE084E"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Work Plan of the Institution’s </w:t>
            </w:r>
            <w:r w:rsidR="005B71DC" w:rsidRPr="00AB655A">
              <w:rPr>
                <w:rFonts w:asciiTheme="majorHAnsi" w:eastAsia="MS Mincho" w:hAnsiTheme="majorHAnsi" w:cstheme="majorHAnsi"/>
                <w:lang w:val="en-US"/>
              </w:rPr>
              <w:t>Statistics</w:t>
            </w:r>
            <w:r w:rsidRPr="00AB655A">
              <w:rPr>
                <w:rFonts w:asciiTheme="majorHAnsi" w:eastAsia="MS Mincho" w:hAnsiTheme="majorHAnsi" w:cstheme="majorHAnsi"/>
                <w:lang w:val="en-US"/>
              </w:rPr>
              <w:t xml:space="preserve"> Office.</w:t>
            </w:r>
          </w:p>
          <w:p w14:paraId="251AD266" w14:textId="7FAA829A" w:rsidR="006644CD" w:rsidRPr="00AB655A" w:rsidRDefault="00AE084E"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Set of indicators.</w:t>
            </w:r>
          </w:p>
          <w:p w14:paraId="20F87E0E" w14:textId="4F19F4C7" w:rsidR="006644CD" w:rsidRPr="00AB655A" w:rsidRDefault="00AE084E" w:rsidP="00AE084E">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Bi-annual and annual newsletters from the </w:t>
            </w:r>
            <w:r w:rsidR="005B71DC" w:rsidRPr="00AB655A">
              <w:rPr>
                <w:rFonts w:asciiTheme="majorHAnsi" w:eastAsia="MS Mincho" w:hAnsiTheme="majorHAnsi" w:cstheme="majorHAnsi"/>
                <w:lang w:val="en-US"/>
              </w:rPr>
              <w:t>Statistics</w:t>
            </w:r>
            <w:r w:rsidRPr="00AB655A">
              <w:rPr>
                <w:rFonts w:asciiTheme="majorHAnsi" w:eastAsia="MS Mincho" w:hAnsiTheme="majorHAnsi" w:cstheme="majorHAnsi"/>
                <w:lang w:val="en-US"/>
              </w:rPr>
              <w:t xml:space="preserve"> Office.</w:t>
            </w:r>
          </w:p>
        </w:tc>
      </w:tr>
    </w:tbl>
    <w:p w14:paraId="5FDFF802" w14:textId="32BC5645" w:rsidR="001D3658" w:rsidRPr="00AB655A" w:rsidRDefault="001D3658">
      <w:pPr>
        <w:rPr>
          <w:rFonts w:asciiTheme="majorHAnsi" w:hAnsiTheme="majorHAnsi" w:cstheme="majorHAnsi"/>
          <w:sz w:val="24"/>
          <w:szCs w:val="24"/>
          <w:lang w:val="en-US"/>
        </w:rPr>
      </w:pPr>
    </w:p>
    <w:p w14:paraId="7E466217" w14:textId="6D2E0211" w:rsidR="00402BE2" w:rsidRPr="00AB655A" w:rsidRDefault="00402BE2">
      <w:pPr>
        <w:rPr>
          <w:rFonts w:asciiTheme="majorHAnsi" w:hAnsiTheme="majorHAnsi" w:cstheme="majorHAnsi"/>
          <w:sz w:val="24"/>
          <w:szCs w:val="24"/>
          <w:lang w:val="en-US"/>
        </w:rPr>
      </w:pPr>
    </w:p>
    <w:p w14:paraId="19122DCE" w14:textId="77777777" w:rsidR="00402BE2" w:rsidRPr="00AB655A" w:rsidRDefault="00402BE2">
      <w:pPr>
        <w:rPr>
          <w:rFonts w:asciiTheme="majorHAnsi" w:hAnsiTheme="majorHAnsi" w:cstheme="majorHAnsi"/>
          <w:sz w:val="24"/>
          <w:szCs w:val="24"/>
          <w:lang w:val="en-US"/>
        </w:rPr>
      </w:pPr>
    </w:p>
    <w:tbl>
      <w:tblPr>
        <w:tblStyle w:val="GridTable4-Accent1"/>
        <w:tblW w:w="5000" w:type="pct"/>
        <w:tblLayout w:type="fixed"/>
        <w:tblLook w:val="00A0" w:firstRow="1" w:lastRow="0" w:firstColumn="1" w:lastColumn="0" w:noHBand="0" w:noVBand="0"/>
      </w:tblPr>
      <w:tblGrid>
        <w:gridCol w:w="1838"/>
        <w:gridCol w:w="2978"/>
        <w:gridCol w:w="1699"/>
        <w:gridCol w:w="1844"/>
        <w:gridCol w:w="1134"/>
        <w:gridCol w:w="2550"/>
        <w:gridCol w:w="1951"/>
      </w:tblGrid>
      <w:tr w:rsidR="00EB5BA9" w:rsidRPr="00ED097B" w14:paraId="4E4F0006" w14:textId="77777777" w:rsidTr="2425A84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000" w:type="pct"/>
            <w:gridSpan w:val="7"/>
          </w:tcPr>
          <w:p w14:paraId="6A51EDA9" w14:textId="5A406F4E" w:rsidR="00F0593F" w:rsidRPr="00AB655A" w:rsidRDefault="00EB5BA9" w:rsidP="001F42C8">
            <w:pPr>
              <w:jc w:val="center"/>
              <w:rPr>
                <w:rFonts w:asciiTheme="majorHAnsi" w:eastAsia="MS Mincho" w:hAnsiTheme="majorHAnsi" w:cstheme="majorHAnsi"/>
                <w:b w:val="0"/>
                <w:bCs w:val="0"/>
                <w:sz w:val="28"/>
                <w:szCs w:val="28"/>
                <w:lang w:val="en-US"/>
              </w:rPr>
            </w:pPr>
            <w:bookmarkStart w:id="10" w:name="_Hlk78320327"/>
            <w:r w:rsidRPr="00AB655A">
              <w:rPr>
                <w:rFonts w:asciiTheme="majorHAnsi" w:eastAsia="MS Mincho" w:hAnsiTheme="majorHAnsi" w:cstheme="majorHAnsi"/>
                <w:sz w:val="22"/>
                <w:szCs w:val="22"/>
                <w:lang w:val="en-US"/>
              </w:rPr>
              <w:br w:type="page"/>
            </w:r>
            <w:r w:rsidRPr="00AB655A">
              <w:rPr>
                <w:rFonts w:asciiTheme="majorHAnsi" w:eastAsia="MS Mincho" w:hAnsiTheme="majorHAnsi" w:cstheme="majorHAnsi"/>
                <w:sz w:val="28"/>
                <w:szCs w:val="28"/>
                <w:lang w:val="en-US"/>
              </w:rPr>
              <w:t xml:space="preserve"> L</w:t>
            </w:r>
            <w:r w:rsidR="00C50653" w:rsidRPr="00AB655A">
              <w:rPr>
                <w:rFonts w:asciiTheme="majorHAnsi" w:eastAsia="MS Mincho" w:hAnsiTheme="majorHAnsi" w:cstheme="majorHAnsi"/>
                <w:sz w:val="28"/>
                <w:szCs w:val="28"/>
                <w:lang w:val="en-US"/>
              </w:rPr>
              <w:t xml:space="preserve">ine of action </w:t>
            </w:r>
            <w:r w:rsidR="00B97BBB" w:rsidRPr="00AB655A">
              <w:rPr>
                <w:rFonts w:asciiTheme="majorHAnsi" w:eastAsia="MS Mincho" w:hAnsiTheme="majorHAnsi" w:cstheme="majorHAnsi"/>
                <w:sz w:val="28"/>
                <w:szCs w:val="28"/>
                <w:lang w:val="en-US"/>
              </w:rPr>
              <w:t>3</w:t>
            </w:r>
            <w:r w:rsidRPr="00AB655A">
              <w:rPr>
                <w:rFonts w:asciiTheme="majorHAnsi" w:eastAsia="MS Mincho" w:hAnsiTheme="majorHAnsi" w:cstheme="majorHAnsi"/>
                <w:sz w:val="28"/>
                <w:szCs w:val="28"/>
                <w:lang w:val="en-US"/>
              </w:rPr>
              <w:t>:</w:t>
            </w:r>
            <w:r w:rsidR="00C50653" w:rsidRPr="00AB655A">
              <w:rPr>
                <w:rFonts w:asciiTheme="majorHAnsi" w:eastAsia="MS Mincho" w:hAnsiTheme="majorHAnsi" w:cstheme="majorHAnsi"/>
                <w:sz w:val="28"/>
                <w:szCs w:val="28"/>
                <w:lang w:val="en-US"/>
              </w:rPr>
              <w:t xml:space="preserve"> Promote an institutional culture that aims for gender equality and equity</w:t>
            </w:r>
          </w:p>
          <w:p w14:paraId="11C85AC5" w14:textId="29E7DCB8" w:rsidR="00EB5BA9" w:rsidRPr="00AB655A" w:rsidRDefault="00B97BBB" w:rsidP="00360122">
            <w:pPr>
              <w:rPr>
                <w:rFonts w:eastAsia="MS Mincho"/>
                <w:lang w:val="en-US"/>
              </w:rPr>
            </w:pPr>
            <w:r w:rsidRPr="00AB655A">
              <w:rPr>
                <w:rFonts w:eastAsia="MS Mincho"/>
                <w:lang w:val="en-US"/>
              </w:rPr>
              <w:t xml:space="preserve">  </w:t>
            </w:r>
          </w:p>
        </w:tc>
      </w:tr>
      <w:tr w:rsidR="00795BAE" w:rsidRPr="00AB655A" w14:paraId="32A6D7BB" w14:textId="77777777" w:rsidTr="2425A84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657" w:type="pct"/>
            <w:shd w:val="clear" w:color="auto" w:fill="D4EAF3" w:themeFill="accent1" w:themeFillTint="33"/>
          </w:tcPr>
          <w:p w14:paraId="51F909AA" w14:textId="310427C9" w:rsidR="00795BAE" w:rsidRPr="00AB655A" w:rsidRDefault="00795BAE" w:rsidP="00795BAE">
            <w:pPr>
              <w:jc w:val="center"/>
              <w:rPr>
                <w:rFonts w:asciiTheme="majorHAnsi" w:eastAsia="MS Mincho" w:hAnsiTheme="majorHAnsi" w:cstheme="majorHAnsi"/>
                <w:b w:val="0"/>
                <w:color w:val="000000"/>
                <w:sz w:val="22"/>
                <w:szCs w:val="22"/>
                <w:lang w:val="en-US" w:eastAsia="es-ES"/>
              </w:rPr>
            </w:pPr>
            <w:r w:rsidRPr="00AB655A">
              <w:rPr>
                <w:rFonts w:asciiTheme="majorHAnsi" w:eastAsia="MS Mincho" w:hAnsiTheme="majorHAnsi" w:cstheme="majorHAnsi"/>
                <w:color w:val="auto"/>
                <w:sz w:val="22"/>
                <w:szCs w:val="22"/>
                <w:lang w:val="en-US"/>
              </w:rPr>
              <w:t>Strategic objective</w:t>
            </w:r>
          </w:p>
        </w:tc>
        <w:tc>
          <w:tcPr>
            <w:cnfStyle w:val="000010000000" w:firstRow="0" w:lastRow="0" w:firstColumn="0" w:lastColumn="0" w:oddVBand="1" w:evenVBand="0" w:oddHBand="0" w:evenHBand="0" w:firstRowFirstColumn="0" w:firstRowLastColumn="0" w:lastRowFirstColumn="0" w:lastRowLastColumn="0"/>
            <w:tcW w:w="1064" w:type="pct"/>
            <w:shd w:val="clear" w:color="auto" w:fill="D4EAF3" w:themeFill="accent1" w:themeFillTint="33"/>
          </w:tcPr>
          <w:p w14:paraId="59F4A64F" w14:textId="324FF677" w:rsidR="00795BAE" w:rsidRPr="00AB655A" w:rsidRDefault="00795BAE" w:rsidP="00795BAE">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Activities</w:t>
            </w:r>
          </w:p>
        </w:tc>
        <w:tc>
          <w:tcPr>
            <w:tcW w:w="607" w:type="pct"/>
            <w:shd w:val="clear" w:color="auto" w:fill="D4EAF3" w:themeFill="accent1" w:themeFillTint="33"/>
          </w:tcPr>
          <w:p w14:paraId="199D1698" w14:textId="1498741B" w:rsidR="00795BAE" w:rsidRPr="00AB655A" w:rsidRDefault="00795BAE" w:rsidP="00795BAE">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eastAsia="es-ES"/>
              </w:rPr>
            </w:pPr>
            <w:r w:rsidRPr="00AB655A">
              <w:rPr>
                <w:rFonts w:asciiTheme="majorHAnsi" w:eastAsia="MS Mincho" w:hAnsiTheme="majorHAnsi" w:cstheme="majorHAnsi"/>
                <w:color w:val="auto"/>
                <w:sz w:val="22"/>
                <w:szCs w:val="22"/>
                <w:lang w:val="en-US"/>
              </w:rPr>
              <w:t>Entity in charge and support</w:t>
            </w:r>
          </w:p>
        </w:tc>
        <w:tc>
          <w:tcPr>
            <w:cnfStyle w:val="000010000000" w:firstRow="0" w:lastRow="0" w:firstColumn="0" w:lastColumn="0" w:oddVBand="1" w:evenVBand="0" w:oddHBand="0" w:evenHBand="0" w:firstRowFirstColumn="0" w:firstRowLastColumn="0" w:lastRowFirstColumn="0" w:lastRowLastColumn="0"/>
            <w:tcW w:w="659" w:type="pct"/>
            <w:shd w:val="clear" w:color="auto" w:fill="D4EAF3" w:themeFill="accent1" w:themeFillTint="33"/>
          </w:tcPr>
          <w:p w14:paraId="3A787C4B" w14:textId="31E11910" w:rsidR="00795BAE" w:rsidRPr="00AB655A" w:rsidRDefault="00795BAE" w:rsidP="00795BAE">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Resources</w:t>
            </w:r>
          </w:p>
        </w:tc>
        <w:tc>
          <w:tcPr>
            <w:tcW w:w="405" w:type="pct"/>
            <w:shd w:val="clear" w:color="auto" w:fill="D4EAF3" w:themeFill="accent1" w:themeFillTint="33"/>
          </w:tcPr>
          <w:p w14:paraId="3B451021" w14:textId="328C043B" w:rsidR="00795BAE" w:rsidRPr="00AB655A" w:rsidRDefault="00795BAE" w:rsidP="00795BAE">
            <w:pPr>
              <w:ind w:left="317"/>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Timeframe</w:t>
            </w:r>
          </w:p>
        </w:tc>
        <w:tc>
          <w:tcPr>
            <w:cnfStyle w:val="000010000000" w:firstRow="0" w:lastRow="0" w:firstColumn="0" w:lastColumn="0" w:oddVBand="1" w:evenVBand="0" w:oddHBand="0" w:evenHBand="0" w:firstRowFirstColumn="0" w:firstRowLastColumn="0" w:lastRowFirstColumn="0" w:lastRowLastColumn="0"/>
            <w:tcW w:w="911" w:type="pct"/>
            <w:shd w:val="clear" w:color="auto" w:fill="D4EAF3" w:themeFill="accent1" w:themeFillTint="33"/>
          </w:tcPr>
          <w:p w14:paraId="63889562" w14:textId="327E3E7F" w:rsidR="00795BAE" w:rsidRPr="00AB655A" w:rsidRDefault="00795BAE" w:rsidP="00795BAE">
            <w:pPr>
              <w:jc w:val="center"/>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Indicators</w:t>
            </w:r>
          </w:p>
        </w:tc>
        <w:tc>
          <w:tcPr>
            <w:tcW w:w="697" w:type="pct"/>
            <w:shd w:val="clear" w:color="auto" w:fill="D4EAF3" w:themeFill="accent1" w:themeFillTint="33"/>
          </w:tcPr>
          <w:p w14:paraId="09D7B0D0" w14:textId="47A80651" w:rsidR="00795BAE" w:rsidRPr="00AB655A" w:rsidRDefault="00795BAE" w:rsidP="00795BAE">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sz w:val="22"/>
                <w:szCs w:val="22"/>
                <w:lang w:val="en-US"/>
              </w:rPr>
            </w:pPr>
            <w:r w:rsidRPr="00AB655A">
              <w:rPr>
                <w:rFonts w:asciiTheme="majorHAnsi" w:eastAsia="MS Mincho" w:hAnsiTheme="majorHAnsi" w:cstheme="majorHAnsi"/>
                <w:color w:val="auto"/>
                <w:sz w:val="22"/>
                <w:szCs w:val="22"/>
                <w:lang w:val="en-US"/>
              </w:rPr>
              <w:t>Verification methods</w:t>
            </w:r>
          </w:p>
        </w:tc>
      </w:tr>
      <w:tr w:rsidR="001F42C8" w:rsidRPr="00AB655A" w14:paraId="127F3071"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7" w:type="pct"/>
            <w:vMerge w:val="restart"/>
          </w:tcPr>
          <w:p w14:paraId="1EC25E32" w14:textId="5D9D51A5" w:rsidR="001F42C8" w:rsidRPr="00AB655A" w:rsidRDefault="1024B15E" w:rsidP="2425A842">
            <w:pPr>
              <w:pStyle w:val="ListParagraph"/>
              <w:numPr>
                <w:ilvl w:val="1"/>
                <w:numId w:val="12"/>
              </w:numPr>
              <w:rPr>
                <w:rFonts w:asciiTheme="majorHAnsi" w:eastAsia="MS Mincho" w:hAnsiTheme="majorHAnsi" w:cstheme="majorBidi"/>
                <w:lang w:val="en-US"/>
              </w:rPr>
            </w:pPr>
            <w:r w:rsidRPr="2425A842">
              <w:rPr>
                <w:rFonts w:asciiTheme="majorHAnsi" w:eastAsia="MS Mincho" w:hAnsiTheme="majorHAnsi" w:cstheme="majorBidi"/>
                <w:lang w:val="en-US"/>
              </w:rPr>
              <w:t xml:space="preserve">Promote changes in the organizational culture that facilitate the incorporation of a gender equality approach in the entire institutional structure, </w:t>
            </w:r>
            <w:r w:rsidRPr="2425A842">
              <w:rPr>
                <w:rFonts w:asciiTheme="majorHAnsi" w:eastAsia="MS Mincho" w:hAnsiTheme="majorHAnsi" w:cstheme="majorBidi"/>
                <w:lang w:val="en-US"/>
              </w:rPr>
              <w:t>such as</w:t>
            </w:r>
            <w:r w:rsidRPr="2425A842">
              <w:rPr>
                <w:rFonts w:asciiTheme="majorHAnsi" w:eastAsia="MS Mincho" w:hAnsiTheme="majorHAnsi" w:cstheme="majorBidi"/>
                <w:lang w:val="en-US"/>
              </w:rPr>
              <w:t xml:space="preserve"> including the gender approach in the management tools and internal processes</w:t>
            </w:r>
          </w:p>
        </w:tc>
        <w:tc>
          <w:tcPr>
            <w:cnfStyle w:val="000010000000" w:firstRow="0" w:lastRow="0" w:firstColumn="0" w:lastColumn="0" w:oddVBand="1" w:evenVBand="0" w:oddHBand="0" w:evenHBand="0" w:firstRowFirstColumn="0" w:firstRowLastColumn="0" w:lastRowFirstColumn="0" w:lastRowLastColumn="0"/>
            <w:tcW w:w="1064" w:type="pct"/>
          </w:tcPr>
          <w:p w14:paraId="21A463DB" w14:textId="44C7AC84" w:rsidR="001F42C8" w:rsidRPr="00AB655A" w:rsidRDefault="001F42C8" w:rsidP="00AE084E">
            <w:pPr>
              <w:rPr>
                <w:rFonts w:asciiTheme="majorHAnsi" w:eastAsia="MS Mincho" w:hAnsiTheme="majorHAnsi" w:cstheme="majorHAnsi"/>
                <w:bCs/>
                <w:lang w:val="en-US"/>
              </w:rPr>
            </w:pPr>
            <w:r w:rsidRPr="00AB655A">
              <w:rPr>
                <w:rFonts w:asciiTheme="majorHAnsi" w:eastAsia="Calibri" w:hAnsiTheme="majorHAnsi" w:cstheme="majorHAnsi"/>
                <w:bCs/>
                <w:color w:val="000000"/>
                <w:lang w:val="en-US" w:eastAsia="es-ES"/>
              </w:rPr>
              <w:t xml:space="preserve">3.1.1 </w:t>
            </w:r>
            <w:r w:rsidR="00AE084E" w:rsidRPr="00AB655A">
              <w:rPr>
                <w:rFonts w:asciiTheme="majorHAnsi" w:eastAsia="Calibri" w:hAnsiTheme="majorHAnsi" w:cstheme="majorHAnsi"/>
                <w:bCs/>
                <w:color w:val="000000"/>
                <w:lang w:val="en-US" w:eastAsia="es-ES"/>
              </w:rPr>
              <w:t>Work with every institutional department and office to review the quality standards and processes for the incorporation of the gender approach into these instruments.</w:t>
            </w:r>
          </w:p>
        </w:tc>
        <w:tc>
          <w:tcPr>
            <w:tcW w:w="607" w:type="pct"/>
          </w:tcPr>
          <w:p w14:paraId="3A978B2C" w14:textId="3EE69746" w:rsidR="001F42C8" w:rsidRPr="00AB655A" w:rsidRDefault="001F42C8" w:rsidP="00AE084E">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color w:val="000000"/>
                <w:lang w:val="en-US" w:eastAsia="es-ES"/>
              </w:rPr>
            </w:pPr>
            <w:r w:rsidRPr="00AB655A">
              <w:rPr>
                <w:rFonts w:asciiTheme="majorHAnsi" w:eastAsia="Calibri" w:hAnsiTheme="majorHAnsi" w:cstheme="majorHAnsi"/>
                <w:bCs/>
                <w:color w:val="000000"/>
                <w:lang w:val="en-US" w:eastAsia="es-ES"/>
              </w:rPr>
              <w:t>-</w:t>
            </w:r>
            <w:r w:rsidR="00AE084E" w:rsidRPr="00AB655A">
              <w:rPr>
                <w:rFonts w:asciiTheme="majorHAnsi" w:eastAsia="Calibri" w:hAnsiTheme="majorHAnsi" w:cstheme="majorHAnsi"/>
                <w:bCs/>
                <w:color w:val="000000"/>
                <w:lang w:val="en-US" w:eastAsia="es-ES"/>
              </w:rPr>
              <w:t>Competent unit</w:t>
            </w:r>
          </w:p>
        </w:tc>
        <w:tc>
          <w:tcPr>
            <w:cnfStyle w:val="000010000000" w:firstRow="0" w:lastRow="0" w:firstColumn="0" w:lastColumn="0" w:oddVBand="1" w:evenVBand="0" w:oddHBand="0" w:evenHBand="0" w:firstRowFirstColumn="0" w:firstRowLastColumn="0" w:lastRowFirstColumn="0" w:lastRowLastColumn="0"/>
            <w:tcW w:w="659" w:type="pct"/>
          </w:tcPr>
          <w:p w14:paraId="0A5CE0A7" w14:textId="1C138413" w:rsidR="001F42C8" w:rsidRPr="00AB655A" w:rsidRDefault="00AE084E"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Competent unit</w:t>
            </w:r>
          </w:p>
          <w:p w14:paraId="62C2DCD1" w14:textId="2C4EA136" w:rsidR="001F42C8" w:rsidRPr="00AB655A" w:rsidRDefault="001F42C8" w:rsidP="007B5429">
            <w:pPr>
              <w:pStyle w:val="ListParagraph"/>
              <w:ind w:left="167"/>
              <w:rPr>
                <w:rFonts w:asciiTheme="majorHAnsi" w:eastAsia="MS Mincho" w:hAnsiTheme="majorHAnsi" w:cstheme="majorHAnsi"/>
                <w:lang w:val="en-US"/>
              </w:rPr>
            </w:pPr>
          </w:p>
        </w:tc>
        <w:tc>
          <w:tcPr>
            <w:tcW w:w="405" w:type="pct"/>
          </w:tcPr>
          <w:p w14:paraId="188A6D78" w14:textId="3074E236" w:rsidR="001F42C8" w:rsidRPr="00AB655A" w:rsidRDefault="00AE084E" w:rsidP="00601C1A">
            <w:pPr>
              <w:spacing w:befor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val="en-US"/>
              </w:rPr>
            </w:pPr>
            <w:r w:rsidRPr="00AB655A">
              <w:rPr>
                <w:rFonts w:asciiTheme="majorHAnsi" w:eastAsia="Calibri" w:hAnsiTheme="majorHAnsi" w:cstheme="majorHAnsi"/>
                <w:lang w:val="en-US"/>
              </w:rPr>
              <w:t>Medium</w:t>
            </w:r>
          </w:p>
          <w:p w14:paraId="689E22DA" w14:textId="5DA18579" w:rsidR="001F42C8" w:rsidRPr="00AB655A" w:rsidRDefault="001F42C8" w:rsidP="00601C1A">
            <w:pPr>
              <w:spacing w:before="0"/>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p>
        </w:tc>
        <w:tc>
          <w:tcPr>
            <w:cnfStyle w:val="000010000000" w:firstRow="0" w:lastRow="0" w:firstColumn="0" w:lastColumn="0" w:oddVBand="1" w:evenVBand="0" w:oddHBand="0" w:evenHBand="0" w:firstRowFirstColumn="0" w:firstRowLastColumn="0" w:lastRowFirstColumn="0" w:lastRowLastColumn="0"/>
            <w:tcW w:w="911" w:type="pct"/>
            <w:vMerge w:val="restart"/>
          </w:tcPr>
          <w:p w14:paraId="70F2C3CE" w14:textId="78ED7C74" w:rsidR="001F42C8" w:rsidRDefault="00AE084E" w:rsidP="00601C1A">
            <w:pPr>
              <w:rPr>
                <w:rFonts w:asciiTheme="majorHAnsi" w:eastAsia="Calibri" w:hAnsiTheme="majorHAnsi" w:cstheme="majorHAnsi"/>
                <w:lang w:val="en-US"/>
              </w:rPr>
            </w:pPr>
            <w:r w:rsidRPr="00AB655A">
              <w:rPr>
                <w:rFonts w:asciiTheme="majorHAnsi" w:eastAsia="Calibri" w:hAnsiTheme="majorHAnsi" w:cstheme="majorHAnsi"/>
                <w:lang w:val="en-US"/>
              </w:rPr>
              <w:t>Staff composition is equitable between men and women.</w:t>
            </w:r>
          </w:p>
          <w:p w14:paraId="5F5355BE" w14:textId="4A80ED37" w:rsidR="00885123" w:rsidRPr="00AB655A" w:rsidRDefault="00885123" w:rsidP="00601C1A">
            <w:pPr>
              <w:rPr>
                <w:rFonts w:asciiTheme="majorHAnsi" w:eastAsia="Calibri" w:hAnsiTheme="majorHAnsi" w:cstheme="majorHAnsi"/>
                <w:lang w:val="en-US"/>
              </w:rPr>
            </w:pPr>
            <w:r>
              <w:rPr>
                <w:rFonts w:asciiTheme="majorHAnsi" w:eastAsia="Calibri" w:hAnsiTheme="majorHAnsi" w:cstheme="majorHAnsi"/>
                <w:lang w:val="en-US"/>
              </w:rPr>
              <w:t>Manuals, processes, and procedures for recruitment, selection, training, promotion, and retention on equal terms, free from discrimination, and that foster</w:t>
            </w:r>
            <w:r w:rsidR="007464EB">
              <w:rPr>
                <w:rFonts w:asciiTheme="majorHAnsi" w:eastAsia="Calibri" w:hAnsiTheme="majorHAnsi" w:cstheme="majorHAnsi"/>
                <w:lang w:val="en-US"/>
              </w:rPr>
              <w:t xml:space="preserve"> joint responsibility and</w:t>
            </w:r>
            <w:r>
              <w:rPr>
                <w:rFonts w:asciiTheme="majorHAnsi" w:eastAsia="Calibri" w:hAnsiTheme="majorHAnsi" w:cstheme="majorHAnsi"/>
                <w:lang w:val="en-US"/>
              </w:rPr>
              <w:t xml:space="preserve"> a work-life balance.</w:t>
            </w:r>
          </w:p>
          <w:p w14:paraId="15ABF8BD" w14:textId="044BF496" w:rsidR="007B5429" w:rsidRPr="00AB655A" w:rsidRDefault="007B5429" w:rsidP="00601C1A">
            <w:pPr>
              <w:rPr>
                <w:rFonts w:asciiTheme="majorHAnsi" w:eastAsia="MS Mincho" w:hAnsiTheme="majorHAnsi" w:cstheme="majorHAnsi"/>
                <w:lang w:val="en-US"/>
              </w:rPr>
            </w:pPr>
          </w:p>
        </w:tc>
        <w:tc>
          <w:tcPr>
            <w:tcW w:w="697" w:type="pct"/>
          </w:tcPr>
          <w:p w14:paraId="01722196" w14:textId="74332E01" w:rsidR="001F42C8" w:rsidRPr="00AB655A" w:rsidRDefault="00AE084E"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Institutional payroll</w:t>
            </w:r>
            <w:r w:rsidR="001F42C8" w:rsidRPr="00AB655A">
              <w:rPr>
                <w:rFonts w:asciiTheme="majorHAnsi" w:eastAsia="MS Mincho" w:hAnsiTheme="majorHAnsi" w:cstheme="majorHAnsi"/>
                <w:lang w:val="en-US"/>
              </w:rPr>
              <w:t xml:space="preserve"> </w:t>
            </w:r>
          </w:p>
        </w:tc>
      </w:tr>
      <w:tr w:rsidR="001F42C8" w:rsidRPr="00ED097B" w14:paraId="036385FC"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657" w:type="pct"/>
            <w:vMerge/>
          </w:tcPr>
          <w:p w14:paraId="17639173" w14:textId="062F4FBC" w:rsidR="001F42C8" w:rsidRPr="00AB655A" w:rsidRDefault="001F42C8" w:rsidP="00615AB1">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64" w:type="pct"/>
          </w:tcPr>
          <w:p w14:paraId="61CFA970" w14:textId="2D42A8FB" w:rsidR="001F42C8" w:rsidRPr="00AB655A" w:rsidRDefault="001F42C8" w:rsidP="00AE084E">
            <w:pPr>
              <w:rPr>
                <w:rFonts w:asciiTheme="majorHAnsi" w:eastAsia="MS Mincho" w:hAnsiTheme="majorHAnsi" w:cstheme="majorHAnsi"/>
                <w:bCs/>
                <w:lang w:val="en-US"/>
              </w:rPr>
            </w:pPr>
            <w:r w:rsidRPr="00AB655A">
              <w:rPr>
                <w:rFonts w:asciiTheme="majorHAnsi" w:eastAsia="MS Mincho" w:hAnsiTheme="majorHAnsi" w:cstheme="majorHAnsi"/>
                <w:bCs/>
                <w:lang w:val="en-US"/>
              </w:rPr>
              <w:t xml:space="preserve">3.1.2 </w:t>
            </w:r>
            <w:r w:rsidR="00AE084E" w:rsidRPr="00AB655A">
              <w:rPr>
                <w:rFonts w:asciiTheme="majorHAnsi" w:eastAsia="MS Mincho" w:hAnsiTheme="majorHAnsi" w:cstheme="majorHAnsi"/>
                <w:bCs/>
                <w:lang w:val="en-US"/>
              </w:rPr>
              <w:t xml:space="preserve">Use a participatory methodology to propose and develop a manual of procedures with a gender approach to select and promote staff </w:t>
            </w:r>
            <w:r w:rsidR="00FA2E28" w:rsidRPr="00AB655A">
              <w:rPr>
                <w:rFonts w:asciiTheme="majorHAnsi" w:eastAsia="MS Mincho" w:hAnsiTheme="majorHAnsi" w:cstheme="majorHAnsi"/>
                <w:bCs/>
                <w:lang w:val="en-US"/>
              </w:rPr>
              <w:t xml:space="preserve">and </w:t>
            </w:r>
            <w:r w:rsidR="00AE084E" w:rsidRPr="00AB655A">
              <w:rPr>
                <w:rFonts w:asciiTheme="majorHAnsi" w:eastAsia="MS Mincho" w:hAnsiTheme="majorHAnsi" w:cstheme="majorHAnsi"/>
                <w:bCs/>
                <w:lang w:val="en-US"/>
              </w:rPr>
              <w:t>that fosters equality at all levels.</w:t>
            </w:r>
          </w:p>
        </w:tc>
        <w:tc>
          <w:tcPr>
            <w:tcW w:w="607" w:type="pct"/>
          </w:tcPr>
          <w:p w14:paraId="4EC4F368" w14:textId="1B4A4B18" w:rsidR="001F42C8" w:rsidRPr="00AB655A" w:rsidRDefault="00FA2E28"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Administrative Unit (or a similar office)</w:t>
            </w:r>
          </w:p>
          <w:p w14:paraId="222FD65E" w14:textId="585FD6AE" w:rsidR="001F42C8" w:rsidRPr="00AB655A" w:rsidRDefault="00FA2E28"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Human Resource Unit</w:t>
            </w:r>
          </w:p>
          <w:p w14:paraId="76A42485" w14:textId="4B4557FE" w:rsidR="001F42C8" w:rsidRPr="00AB655A" w:rsidRDefault="00FA2E28"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59" w:type="pct"/>
          </w:tcPr>
          <w:p w14:paraId="121A05AB" w14:textId="22D9283C" w:rsidR="001F42C8" w:rsidRPr="00AB655A" w:rsidRDefault="00FA2E28"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w:t>
            </w:r>
            <w:r w:rsidR="001F42C8" w:rsidRPr="00AB655A">
              <w:rPr>
                <w:rFonts w:asciiTheme="majorHAnsi" w:eastAsia="MS Mincho" w:hAnsiTheme="majorHAnsi" w:cstheme="majorHAnsi"/>
                <w:lang w:val="en-US"/>
              </w:rPr>
              <w:t xml:space="preserve"> </w:t>
            </w:r>
          </w:p>
        </w:tc>
        <w:tc>
          <w:tcPr>
            <w:tcW w:w="405" w:type="pct"/>
          </w:tcPr>
          <w:p w14:paraId="0B5834A3" w14:textId="317DA1A5" w:rsidR="001F42C8" w:rsidRPr="00AB655A" w:rsidRDefault="00FA2E28" w:rsidP="00601C1A">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Medium</w:t>
            </w:r>
          </w:p>
        </w:tc>
        <w:tc>
          <w:tcPr>
            <w:cnfStyle w:val="000010000000" w:firstRow="0" w:lastRow="0" w:firstColumn="0" w:lastColumn="0" w:oddVBand="1" w:evenVBand="0" w:oddHBand="0" w:evenHBand="0" w:firstRowFirstColumn="0" w:firstRowLastColumn="0" w:lastRowFirstColumn="0" w:lastRowLastColumn="0"/>
            <w:tcW w:w="911" w:type="pct"/>
            <w:vMerge/>
          </w:tcPr>
          <w:p w14:paraId="51E7F794" w14:textId="57FB607F" w:rsidR="001F42C8" w:rsidRPr="00AB655A" w:rsidRDefault="001F42C8" w:rsidP="00601C1A">
            <w:pPr>
              <w:rPr>
                <w:rFonts w:asciiTheme="majorHAnsi" w:eastAsia="MS Mincho" w:hAnsiTheme="majorHAnsi" w:cstheme="majorHAnsi"/>
                <w:lang w:val="en-US"/>
              </w:rPr>
            </w:pPr>
          </w:p>
        </w:tc>
        <w:tc>
          <w:tcPr>
            <w:tcW w:w="697" w:type="pct"/>
          </w:tcPr>
          <w:p w14:paraId="72ED0EFD" w14:textId="3C40D02D" w:rsidR="005E3E9B" w:rsidRDefault="005E3E9B"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Administrative records, measures to make schedules flexible, and control measures.</w:t>
            </w:r>
          </w:p>
          <w:p w14:paraId="3BAF0ED5" w14:textId="5AAB9A62" w:rsidR="00FA2E28" w:rsidRPr="00AB655A" w:rsidRDefault="00FA2E28"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Report of the results from the review of current instruments to hire and select staff.</w:t>
            </w:r>
          </w:p>
          <w:p w14:paraId="4B11C29B" w14:textId="74BAB485" w:rsidR="001F42C8" w:rsidRPr="00AB655A" w:rsidRDefault="001F42C8" w:rsidP="007B5429">
            <w:pPr>
              <w:pStyle w:val="ListParagraph"/>
              <w:ind w:left="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p>
        </w:tc>
      </w:tr>
      <w:tr w:rsidR="001F42C8" w:rsidRPr="00AB655A" w14:paraId="13C76427"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7" w:type="pct"/>
            <w:vMerge/>
          </w:tcPr>
          <w:p w14:paraId="1610BBB9" w14:textId="77777777" w:rsidR="001F42C8" w:rsidRPr="00AB655A" w:rsidRDefault="001F42C8" w:rsidP="00887872">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64" w:type="pct"/>
          </w:tcPr>
          <w:p w14:paraId="1AFE57B7" w14:textId="3DD8A9FB" w:rsidR="001F42C8" w:rsidRPr="00AB655A" w:rsidRDefault="001F42C8" w:rsidP="00FA2E28">
            <w:pPr>
              <w:rPr>
                <w:rFonts w:asciiTheme="majorHAnsi" w:eastAsia="MS Mincho" w:hAnsiTheme="majorHAnsi" w:cstheme="majorHAnsi"/>
                <w:bCs/>
                <w:lang w:val="en-US"/>
              </w:rPr>
            </w:pPr>
            <w:r w:rsidRPr="00AB655A">
              <w:rPr>
                <w:rFonts w:asciiTheme="majorHAnsi" w:eastAsia="MS Mincho" w:hAnsiTheme="majorHAnsi" w:cstheme="majorHAnsi"/>
                <w:bCs/>
                <w:lang w:val="en-US"/>
              </w:rPr>
              <w:t xml:space="preserve">3.1.3 </w:t>
            </w:r>
            <w:r w:rsidR="00FA2E28" w:rsidRPr="00AB655A">
              <w:rPr>
                <w:rFonts w:asciiTheme="majorHAnsi" w:eastAsia="MS Mincho" w:hAnsiTheme="majorHAnsi" w:cstheme="majorHAnsi"/>
                <w:bCs/>
                <w:lang w:val="en-US"/>
              </w:rPr>
              <w:t>Review questionnaires to gather data using a gender approach.</w:t>
            </w:r>
          </w:p>
        </w:tc>
        <w:tc>
          <w:tcPr>
            <w:tcW w:w="607" w:type="pct"/>
          </w:tcPr>
          <w:p w14:paraId="58B84DE5" w14:textId="69FC4021" w:rsidR="001F42C8" w:rsidRPr="00AB655A" w:rsidRDefault="00FA2E28"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Institution’s Statistics Unit with all units</w:t>
            </w:r>
          </w:p>
          <w:p w14:paraId="2A77C11A" w14:textId="77B71F02" w:rsidR="001F42C8" w:rsidRPr="00AB655A" w:rsidRDefault="00FA2E28" w:rsidP="00FA2E28">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59" w:type="pct"/>
          </w:tcPr>
          <w:p w14:paraId="4F37D012" w14:textId="405FEC4B" w:rsidR="001F42C8" w:rsidRPr="00AB655A" w:rsidRDefault="00FA2E28" w:rsidP="00FA2E28">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Human resources from the Statistics Unit with training on gender </w:t>
            </w:r>
            <w:r w:rsidR="005B71DC" w:rsidRPr="00AB655A">
              <w:rPr>
                <w:rFonts w:asciiTheme="majorHAnsi" w:eastAsia="MS Mincho" w:hAnsiTheme="majorHAnsi" w:cstheme="majorHAnsi"/>
                <w:lang w:val="en-US"/>
              </w:rPr>
              <w:t>analysis</w:t>
            </w:r>
            <w:r w:rsidRPr="00AB655A">
              <w:rPr>
                <w:rFonts w:asciiTheme="majorHAnsi" w:eastAsia="MS Mincho" w:hAnsiTheme="majorHAnsi" w:cstheme="majorHAnsi"/>
                <w:lang w:val="en-US"/>
              </w:rPr>
              <w:t>.</w:t>
            </w:r>
          </w:p>
        </w:tc>
        <w:tc>
          <w:tcPr>
            <w:tcW w:w="405" w:type="pct"/>
          </w:tcPr>
          <w:p w14:paraId="2EB2353A" w14:textId="3678A314" w:rsidR="001F42C8" w:rsidRPr="00AB655A" w:rsidRDefault="001F42C8" w:rsidP="00887872">
            <w:pPr>
              <w:spacing w:before="0"/>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p>
          <w:p w14:paraId="05B0C7DE" w14:textId="77777777" w:rsidR="001F42C8" w:rsidRPr="00AB655A" w:rsidRDefault="001F42C8" w:rsidP="00887872">
            <w:pPr>
              <w:spacing w:before="0"/>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p>
          <w:p w14:paraId="69F0424C" w14:textId="4D1512BA" w:rsidR="001F42C8" w:rsidRPr="00AB655A" w:rsidRDefault="001F42C8" w:rsidP="00887872">
            <w:pPr>
              <w:spacing w:before="0"/>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p>
          <w:p w14:paraId="412C55B8" w14:textId="500B5CFC" w:rsidR="001F42C8" w:rsidRPr="00AB655A" w:rsidRDefault="001F42C8" w:rsidP="00887872">
            <w:pPr>
              <w:spacing w:before="0"/>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r w:rsidRPr="00AB655A">
              <w:rPr>
                <w:rFonts w:asciiTheme="majorHAnsi" w:eastAsia="MS Mincho" w:hAnsiTheme="majorHAnsi" w:cstheme="majorHAnsi"/>
                <w:bCs/>
                <w:lang w:val="en-US"/>
              </w:rPr>
              <w:t>Medi</w:t>
            </w:r>
            <w:r w:rsidR="00FA2E28" w:rsidRPr="00AB655A">
              <w:rPr>
                <w:rFonts w:asciiTheme="majorHAnsi" w:eastAsia="MS Mincho" w:hAnsiTheme="majorHAnsi" w:cstheme="majorHAnsi"/>
                <w:bCs/>
                <w:lang w:val="en-US"/>
              </w:rPr>
              <w:t>um</w:t>
            </w:r>
          </w:p>
          <w:p w14:paraId="2B362346" w14:textId="77777777" w:rsidR="001F42C8" w:rsidRPr="00AB655A" w:rsidRDefault="001F42C8" w:rsidP="00887872">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p>
        </w:tc>
        <w:tc>
          <w:tcPr>
            <w:cnfStyle w:val="000010000000" w:firstRow="0" w:lastRow="0" w:firstColumn="0" w:lastColumn="0" w:oddVBand="1" w:evenVBand="0" w:oddHBand="0" w:evenHBand="0" w:firstRowFirstColumn="0" w:firstRowLastColumn="0" w:lastRowFirstColumn="0" w:lastRowLastColumn="0"/>
            <w:tcW w:w="911" w:type="pct"/>
          </w:tcPr>
          <w:p w14:paraId="56F3FB03" w14:textId="71447B93" w:rsidR="001F42C8" w:rsidRPr="00AB655A" w:rsidRDefault="00FA2E28" w:rsidP="00FA2E28">
            <w:pPr>
              <w:rPr>
                <w:rFonts w:asciiTheme="majorHAnsi" w:eastAsia="MS Mincho" w:hAnsiTheme="majorHAnsi" w:cstheme="majorHAnsi"/>
                <w:bCs/>
                <w:lang w:val="en-US"/>
              </w:rPr>
            </w:pPr>
            <w:r w:rsidRPr="00AB655A">
              <w:rPr>
                <w:rFonts w:asciiTheme="majorHAnsi" w:eastAsia="MS Mincho" w:hAnsiTheme="majorHAnsi" w:cstheme="majorHAnsi"/>
                <w:bCs/>
                <w:lang w:val="en-US"/>
              </w:rPr>
              <w:t>Questionnaires to gather data ensure disaggregation by sex and the presence of other variables to obtain data that facilitate monitoring gender gaps in the labor market.</w:t>
            </w:r>
          </w:p>
        </w:tc>
        <w:tc>
          <w:tcPr>
            <w:tcW w:w="697" w:type="pct"/>
          </w:tcPr>
          <w:p w14:paraId="25B300C0" w14:textId="7941C173" w:rsidR="001F42C8" w:rsidRPr="00AB655A" w:rsidRDefault="00FA2E28"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Paper or electronic questionnaires</w:t>
            </w:r>
          </w:p>
          <w:p w14:paraId="68F17FF9" w14:textId="77777777" w:rsidR="001F42C8" w:rsidRPr="00AB655A" w:rsidRDefault="001F42C8" w:rsidP="007B5429">
            <w:pPr>
              <w:pStyle w:val="ListParagraph"/>
              <w:ind w:left="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p>
        </w:tc>
      </w:tr>
      <w:tr w:rsidR="001E480D" w:rsidRPr="00AB655A" w14:paraId="57DAF1B2"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657" w:type="pct"/>
          </w:tcPr>
          <w:p w14:paraId="0C5075F5" w14:textId="77777777" w:rsidR="001E480D" w:rsidRPr="00AB655A" w:rsidRDefault="001E480D" w:rsidP="001E480D">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64" w:type="pct"/>
          </w:tcPr>
          <w:p w14:paraId="05C9E8C9" w14:textId="254715A2" w:rsidR="001E480D" w:rsidRPr="00AB655A" w:rsidRDefault="00B02B3D" w:rsidP="00FA2E28">
            <w:pPr>
              <w:rPr>
                <w:rFonts w:asciiTheme="majorHAnsi" w:eastAsia="MS Mincho" w:hAnsiTheme="majorHAnsi" w:cstheme="majorHAnsi"/>
                <w:bCs/>
                <w:lang w:val="en-US"/>
              </w:rPr>
            </w:pPr>
            <w:r w:rsidRPr="00AB655A">
              <w:rPr>
                <w:rFonts w:asciiTheme="majorHAnsi" w:eastAsia="MS Mincho" w:hAnsiTheme="majorHAnsi" w:cstheme="majorHAnsi"/>
                <w:bCs/>
                <w:lang w:val="en-US"/>
              </w:rPr>
              <w:t xml:space="preserve">3.1.4. </w:t>
            </w:r>
            <w:r w:rsidR="00FA2E28" w:rsidRPr="00AB655A">
              <w:rPr>
                <w:rFonts w:asciiTheme="majorHAnsi" w:eastAsia="MS Mincho" w:hAnsiTheme="majorHAnsi" w:cstheme="majorHAnsi"/>
                <w:bCs/>
                <w:lang w:val="en-US"/>
              </w:rPr>
              <w:t>Use a gender approach to review the services provided by the institution and propose the corresponding modifications.</w:t>
            </w:r>
          </w:p>
        </w:tc>
        <w:tc>
          <w:tcPr>
            <w:tcW w:w="607" w:type="pct"/>
          </w:tcPr>
          <w:p w14:paraId="2DF42403" w14:textId="369E7C99" w:rsidR="001E480D" w:rsidRPr="00AB655A" w:rsidRDefault="00FA2E28"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Legal Unit</w:t>
            </w:r>
          </w:p>
        </w:tc>
        <w:tc>
          <w:tcPr>
            <w:cnfStyle w:val="000010000000" w:firstRow="0" w:lastRow="0" w:firstColumn="0" w:lastColumn="0" w:oddVBand="1" w:evenVBand="0" w:oddHBand="0" w:evenHBand="0" w:firstRowFirstColumn="0" w:firstRowLastColumn="0" w:lastRowFirstColumn="0" w:lastRowLastColumn="0"/>
            <w:tcW w:w="659" w:type="pct"/>
          </w:tcPr>
          <w:p w14:paraId="0A165B63" w14:textId="140132EB" w:rsidR="001E480D" w:rsidRPr="00AB655A" w:rsidRDefault="00FA2E28"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of the Legal Unit with training on gender.</w:t>
            </w:r>
          </w:p>
        </w:tc>
        <w:tc>
          <w:tcPr>
            <w:tcW w:w="405" w:type="pct"/>
          </w:tcPr>
          <w:p w14:paraId="4F709665" w14:textId="3739861F" w:rsidR="001E480D" w:rsidRPr="00AB655A" w:rsidRDefault="001E480D" w:rsidP="001E480D">
            <w:pPr>
              <w:spacing w:before="0"/>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p>
          <w:p w14:paraId="16BCA5B5" w14:textId="21FD272C" w:rsidR="001E480D" w:rsidRPr="00AB655A" w:rsidRDefault="004B117E" w:rsidP="00FA2E28">
            <w:pPr>
              <w:spacing w:before="0"/>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r w:rsidRPr="00AB655A">
              <w:rPr>
                <w:rFonts w:asciiTheme="majorHAnsi" w:eastAsia="MS Mincho" w:hAnsiTheme="majorHAnsi" w:cstheme="majorHAnsi"/>
                <w:bCs/>
                <w:lang w:val="en-US"/>
              </w:rPr>
              <w:t>Med</w:t>
            </w:r>
            <w:r w:rsidR="00FA2E28" w:rsidRPr="00AB655A">
              <w:rPr>
                <w:rFonts w:asciiTheme="majorHAnsi" w:eastAsia="MS Mincho" w:hAnsiTheme="majorHAnsi" w:cstheme="majorHAnsi"/>
                <w:bCs/>
                <w:lang w:val="en-US"/>
              </w:rPr>
              <w:t>ium</w:t>
            </w:r>
          </w:p>
        </w:tc>
        <w:tc>
          <w:tcPr>
            <w:cnfStyle w:val="000010000000" w:firstRow="0" w:lastRow="0" w:firstColumn="0" w:lastColumn="0" w:oddVBand="1" w:evenVBand="0" w:oddHBand="0" w:evenHBand="0" w:firstRowFirstColumn="0" w:firstRowLastColumn="0" w:lastRowFirstColumn="0" w:lastRowLastColumn="0"/>
            <w:tcW w:w="911" w:type="pct"/>
          </w:tcPr>
          <w:p w14:paraId="07D481C8" w14:textId="1ADCE042" w:rsidR="00FA2E28" w:rsidRPr="00AB655A" w:rsidRDefault="00FA2E28" w:rsidP="00DB779F">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Services provided by the institution consider their differentiated impact on women and men.</w:t>
            </w:r>
          </w:p>
          <w:p w14:paraId="173CE482" w14:textId="775207AC" w:rsidR="007B5429" w:rsidRPr="00AB655A" w:rsidRDefault="0A0E6D64" w:rsidP="2425A842">
            <w:pPr>
              <w:pStyle w:val="ListParagraph"/>
              <w:numPr>
                <w:ilvl w:val="0"/>
                <w:numId w:val="14"/>
              </w:numPr>
              <w:ind w:left="167" w:hanging="167"/>
              <w:rPr>
                <w:rFonts w:asciiTheme="majorHAnsi" w:eastAsia="MS Mincho" w:hAnsiTheme="majorHAnsi" w:cstheme="majorBidi"/>
                <w:lang w:val="en-US"/>
              </w:rPr>
            </w:pPr>
            <w:r w:rsidRPr="2425A842">
              <w:rPr>
                <w:rFonts w:asciiTheme="majorHAnsi" w:eastAsia="MS Mincho" w:hAnsiTheme="majorHAnsi" w:cstheme="majorBidi"/>
                <w:lang w:val="en-US"/>
              </w:rPr>
              <w:t>Users are satisfied with the care and products they receive.</w:t>
            </w:r>
            <w:r w:rsidR="00FA2E28" w:rsidRPr="00ED097B">
              <w:rPr>
                <w:lang w:val="en-US"/>
              </w:rPr>
              <w:br/>
            </w:r>
          </w:p>
          <w:p w14:paraId="5E2DC1D5" w14:textId="0CC0F13C" w:rsidR="004B117E" w:rsidRPr="00AB655A" w:rsidRDefault="004B117E" w:rsidP="005F395D">
            <w:pPr>
              <w:pStyle w:val="ListParagraph"/>
              <w:ind w:left="167"/>
              <w:rPr>
                <w:rFonts w:asciiTheme="majorHAnsi" w:eastAsia="MS Mincho" w:hAnsiTheme="majorHAnsi" w:cstheme="majorHAnsi"/>
                <w:lang w:val="en-US"/>
              </w:rPr>
            </w:pPr>
          </w:p>
        </w:tc>
        <w:tc>
          <w:tcPr>
            <w:tcW w:w="697" w:type="pct"/>
          </w:tcPr>
          <w:p w14:paraId="5F56A433" w14:textId="22294626" w:rsidR="00FA2E28" w:rsidRPr="00AB655A" w:rsidRDefault="00FA2E28"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Report containing the proposed modifications to the procedures of services provided by the institution.</w:t>
            </w:r>
          </w:p>
          <w:p w14:paraId="1C71E13F" w14:textId="671154A7" w:rsidR="007B5429" w:rsidRPr="00AB655A" w:rsidRDefault="0066664E" w:rsidP="0066664E">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Satisfaction questionnaire for users.</w:t>
            </w:r>
          </w:p>
        </w:tc>
      </w:tr>
      <w:tr w:rsidR="001E480D" w:rsidRPr="00ED097B" w14:paraId="31DC280A"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7" w:type="pct"/>
          </w:tcPr>
          <w:p w14:paraId="4EB93DC7" w14:textId="39513E0D" w:rsidR="001E480D" w:rsidRPr="00AB655A" w:rsidRDefault="001E480D" w:rsidP="005E3E9B">
            <w:pPr>
              <w:rPr>
                <w:rFonts w:asciiTheme="majorHAnsi" w:eastAsia="MS Mincho" w:hAnsiTheme="majorHAnsi" w:cstheme="majorHAnsi"/>
                <w:bCs w:val="0"/>
                <w:color w:val="000000"/>
                <w:lang w:val="en-US" w:eastAsia="es-ES"/>
              </w:rPr>
            </w:pPr>
            <w:r w:rsidRPr="00AB655A">
              <w:rPr>
                <w:rFonts w:asciiTheme="majorHAnsi" w:eastAsia="Calibri" w:hAnsiTheme="majorHAnsi" w:cstheme="majorHAnsi"/>
                <w:color w:val="000000"/>
                <w:lang w:val="en-US" w:eastAsia="es-ES"/>
              </w:rPr>
              <w:t xml:space="preserve">3.2 </w:t>
            </w:r>
            <w:r w:rsidR="00B22AF3" w:rsidRPr="00AB655A">
              <w:rPr>
                <w:rFonts w:asciiTheme="majorHAnsi" w:eastAsia="Calibri" w:hAnsiTheme="majorHAnsi" w:cstheme="majorHAnsi"/>
                <w:color w:val="000000"/>
                <w:lang w:val="en-US" w:eastAsia="es-ES"/>
              </w:rPr>
              <w:t xml:space="preserve">Implement measures that ensure </w:t>
            </w:r>
            <w:r w:rsidR="005E3E9B">
              <w:rPr>
                <w:rFonts w:asciiTheme="majorHAnsi" w:eastAsia="Calibri" w:hAnsiTheme="majorHAnsi" w:cstheme="majorHAnsi"/>
                <w:color w:val="000000"/>
                <w:lang w:val="en-US" w:eastAsia="es-ES"/>
              </w:rPr>
              <w:t>women’s inclusion</w:t>
            </w:r>
            <w:r w:rsidR="00B22AF3" w:rsidRPr="00AB655A">
              <w:rPr>
                <w:rFonts w:asciiTheme="majorHAnsi" w:eastAsia="Calibri" w:hAnsiTheme="majorHAnsi" w:cstheme="majorHAnsi"/>
                <w:color w:val="000000"/>
                <w:lang w:val="en-US" w:eastAsia="es-ES"/>
              </w:rPr>
              <w:t>—on equal terms—in the institution’s management and decision-making positions</w:t>
            </w:r>
          </w:p>
        </w:tc>
        <w:tc>
          <w:tcPr>
            <w:cnfStyle w:val="000010000000" w:firstRow="0" w:lastRow="0" w:firstColumn="0" w:lastColumn="0" w:oddVBand="1" w:evenVBand="0" w:oddHBand="0" w:evenHBand="0" w:firstRowFirstColumn="0" w:firstRowLastColumn="0" w:lastRowFirstColumn="0" w:lastRowLastColumn="0"/>
            <w:tcW w:w="1064" w:type="pct"/>
          </w:tcPr>
          <w:p w14:paraId="15D582E7" w14:textId="37E5647D" w:rsidR="001E480D" w:rsidRPr="00AB655A" w:rsidRDefault="0066664E" w:rsidP="001E480D">
            <w:pPr>
              <w:rPr>
                <w:rFonts w:cstheme="minorHAnsi"/>
                <w:lang w:val="en-US"/>
              </w:rPr>
            </w:pPr>
            <w:r w:rsidRPr="00AB655A">
              <w:rPr>
                <w:rFonts w:cstheme="minorHAnsi"/>
                <w:lang w:val="en-US"/>
              </w:rPr>
              <w:t>3.2.1 Promote training of women and men in areas with lower female or masculine presence.</w:t>
            </w:r>
          </w:p>
          <w:p w14:paraId="3383CD1E" w14:textId="3D1626A6" w:rsidR="001E480D" w:rsidRPr="00AB655A" w:rsidRDefault="001E480D" w:rsidP="001E480D">
            <w:pPr>
              <w:rPr>
                <w:rFonts w:asciiTheme="majorHAnsi" w:eastAsia="MS Mincho" w:hAnsiTheme="majorHAnsi" w:cstheme="majorHAnsi"/>
                <w:lang w:val="en-US"/>
              </w:rPr>
            </w:pPr>
          </w:p>
        </w:tc>
        <w:tc>
          <w:tcPr>
            <w:tcW w:w="607" w:type="pct"/>
          </w:tcPr>
          <w:p w14:paraId="2603EC22" w14:textId="5D8D9C17" w:rsidR="001E480D" w:rsidRPr="00AB655A" w:rsidRDefault="0066664E"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Administrative Unit</w:t>
            </w:r>
          </w:p>
          <w:p w14:paraId="7F86A1AD" w14:textId="0DE73147" w:rsidR="001E480D" w:rsidRPr="00AB655A" w:rsidRDefault="0066664E"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Human Resource Unit</w:t>
            </w:r>
          </w:p>
          <w:p w14:paraId="6260B8DC" w14:textId="196FF203" w:rsidR="001E480D" w:rsidRPr="00AB655A" w:rsidRDefault="0066664E"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59" w:type="pct"/>
          </w:tcPr>
          <w:p w14:paraId="3DD0DE8D" w14:textId="1B528C69" w:rsidR="001E480D" w:rsidRPr="00AB655A" w:rsidRDefault="0066664E"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from the Unit of Human Resources</w:t>
            </w:r>
          </w:p>
          <w:p w14:paraId="33A0BC45" w14:textId="09DD405F" w:rsidR="001E480D" w:rsidRPr="00AB655A" w:rsidRDefault="001E480D" w:rsidP="004B117E">
            <w:pPr>
              <w:pStyle w:val="ListParagraph"/>
              <w:ind w:left="167"/>
              <w:rPr>
                <w:rFonts w:asciiTheme="majorHAnsi" w:eastAsia="MS Mincho" w:hAnsiTheme="majorHAnsi" w:cstheme="majorHAnsi"/>
                <w:lang w:val="en-US"/>
              </w:rPr>
            </w:pPr>
          </w:p>
        </w:tc>
        <w:tc>
          <w:tcPr>
            <w:tcW w:w="405" w:type="pct"/>
          </w:tcPr>
          <w:p w14:paraId="6B52E8FC" w14:textId="547CA30A" w:rsidR="004B117E" w:rsidRPr="00AB655A" w:rsidRDefault="0066664E" w:rsidP="001E480D">
            <w:pPr>
              <w:spacing w:befor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val="en-US"/>
              </w:rPr>
            </w:pPr>
            <w:r w:rsidRPr="00AB655A">
              <w:rPr>
                <w:rFonts w:asciiTheme="majorHAnsi" w:eastAsia="Calibri" w:hAnsiTheme="majorHAnsi" w:cstheme="majorHAnsi"/>
                <w:lang w:val="en-US"/>
              </w:rPr>
              <w:t>Short, medium, and long-term</w:t>
            </w:r>
          </w:p>
          <w:p w14:paraId="38636F92" w14:textId="7285DA66" w:rsidR="001E480D" w:rsidRPr="00AB655A" w:rsidRDefault="001E480D" w:rsidP="004B117E">
            <w:pPr>
              <w:spacing w:befor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val="en-US"/>
              </w:rPr>
            </w:pPr>
          </w:p>
        </w:tc>
        <w:tc>
          <w:tcPr>
            <w:cnfStyle w:val="000010000000" w:firstRow="0" w:lastRow="0" w:firstColumn="0" w:lastColumn="0" w:oddVBand="1" w:evenVBand="0" w:oddHBand="0" w:evenHBand="0" w:firstRowFirstColumn="0" w:firstRowLastColumn="0" w:lastRowFirstColumn="0" w:lastRowLastColumn="0"/>
            <w:tcW w:w="911" w:type="pct"/>
          </w:tcPr>
          <w:p w14:paraId="59BBF8F9" w14:textId="629D81B6" w:rsidR="001E480D" w:rsidRPr="00AB655A" w:rsidRDefault="0066664E" w:rsidP="007B5429">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Change in the percentage of women that access management positions.</w:t>
            </w:r>
          </w:p>
        </w:tc>
        <w:tc>
          <w:tcPr>
            <w:tcW w:w="697" w:type="pct"/>
          </w:tcPr>
          <w:p w14:paraId="1B4B467F" w14:textId="10AAF501" w:rsidR="001E480D" w:rsidRPr="00AB655A" w:rsidRDefault="0066664E" w:rsidP="0066664E">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Report with proposals of measures to ensure that women participate—on equal terms—in the institution’s management and leadership positions.</w:t>
            </w:r>
          </w:p>
        </w:tc>
      </w:tr>
      <w:tr w:rsidR="001E480D" w:rsidRPr="00ED097B" w14:paraId="378B80F0"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657" w:type="pct"/>
          </w:tcPr>
          <w:p w14:paraId="699DDC8A" w14:textId="45BEFA8F" w:rsidR="001E480D" w:rsidRPr="00AB655A" w:rsidRDefault="001E480D" w:rsidP="001E480D">
            <w:pPr>
              <w:rPr>
                <w:rFonts w:asciiTheme="majorHAnsi" w:eastAsia="MS Mincho" w:hAnsiTheme="majorHAnsi" w:cstheme="majorHAnsi"/>
                <w:bCs w:val="0"/>
                <w:color w:val="000000"/>
                <w:lang w:val="en-US" w:eastAsia="es-ES"/>
              </w:rPr>
            </w:pPr>
            <w:r w:rsidRPr="00AB655A">
              <w:rPr>
                <w:rFonts w:asciiTheme="majorHAnsi" w:eastAsia="MS Mincho" w:hAnsiTheme="majorHAnsi" w:cstheme="majorHAnsi"/>
                <w:color w:val="000000"/>
                <w:lang w:val="en-US" w:eastAsia="es-ES"/>
              </w:rPr>
              <w:t xml:space="preserve">3.3. </w:t>
            </w:r>
            <w:r w:rsidR="00B22AF3" w:rsidRPr="00AB655A">
              <w:rPr>
                <w:rFonts w:asciiTheme="majorHAnsi" w:eastAsia="MS Mincho" w:hAnsiTheme="majorHAnsi" w:cstheme="majorHAnsi"/>
                <w:bCs w:val="0"/>
                <w:color w:val="000000"/>
                <w:lang w:val="en-US" w:eastAsia="es-ES"/>
              </w:rPr>
              <w:t>Promote measures to prevent and sanction workplace and sexual harassment in the institution</w:t>
            </w:r>
          </w:p>
        </w:tc>
        <w:tc>
          <w:tcPr>
            <w:cnfStyle w:val="000010000000" w:firstRow="0" w:lastRow="0" w:firstColumn="0" w:lastColumn="0" w:oddVBand="1" w:evenVBand="0" w:oddHBand="0" w:evenHBand="0" w:firstRowFirstColumn="0" w:firstRowLastColumn="0" w:lastRowFirstColumn="0" w:lastRowLastColumn="0"/>
            <w:tcW w:w="1064" w:type="pct"/>
            <w:vAlign w:val="center"/>
          </w:tcPr>
          <w:p w14:paraId="6822801C" w14:textId="5D895F3F" w:rsidR="001E480D" w:rsidRPr="00AB655A" w:rsidRDefault="00BC0223" w:rsidP="0066664E">
            <w:pPr>
              <w:rPr>
                <w:rFonts w:asciiTheme="majorHAnsi" w:eastAsia="MS Mincho" w:hAnsiTheme="majorHAnsi" w:cstheme="majorHAnsi"/>
                <w:bCs/>
                <w:lang w:val="en-US"/>
              </w:rPr>
            </w:pPr>
            <w:r w:rsidRPr="00AB655A">
              <w:rPr>
                <w:rFonts w:asciiTheme="majorHAnsi" w:eastAsia="Calibri" w:hAnsiTheme="majorHAnsi" w:cstheme="majorHAnsi"/>
                <w:lang w:val="en-US"/>
              </w:rPr>
              <w:t xml:space="preserve">3.3.1 </w:t>
            </w:r>
            <w:r w:rsidR="001E480D" w:rsidRPr="00AB655A">
              <w:rPr>
                <w:rFonts w:asciiTheme="majorHAnsi" w:eastAsia="Calibri" w:hAnsiTheme="majorHAnsi" w:cstheme="majorHAnsi"/>
                <w:lang w:val="en-US"/>
              </w:rPr>
              <w:t>I</w:t>
            </w:r>
            <w:r w:rsidR="0066664E" w:rsidRPr="00AB655A">
              <w:rPr>
                <w:rFonts w:asciiTheme="majorHAnsi" w:eastAsia="Calibri" w:hAnsiTheme="majorHAnsi" w:cstheme="majorHAnsi"/>
                <w:lang w:val="en-US"/>
              </w:rPr>
              <w:t>nclude a chapter on workplace and sexual harassment and the procedure for actions</w:t>
            </w:r>
            <w:r w:rsidR="005E3E9B">
              <w:rPr>
                <w:rFonts w:asciiTheme="majorHAnsi" w:eastAsia="Calibri" w:hAnsiTheme="majorHAnsi" w:cstheme="majorHAnsi"/>
                <w:lang w:val="en-US"/>
              </w:rPr>
              <w:t xml:space="preserve"> (prevent, address, and sanction)</w:t>
            </w:r>
            <w:r w:rsidR="0066664E" w:rsidRPr="00AB655A">
              <w:rPr>
                <w:rFonts w:asciiTheme="majorHAnsi" w:eastAsia="Calibri" w:hAnsiTheme="majorHAnsi" w:cstheme="majorHAnsi"/>
                <w:lang w:val="en-US"/>
              </w:rPr>
              <w:t xml:space="preserve"> in the institution’s internal regulations.</w:t>
            </w:r>
          </w:p>
        </w:tc>
        <w:tc>
          <w:tcPr>
            <w:tcW w:w="607" w:type="pct"/>
          </w:tcPr>
          <w:p w14:paraId="5DCFC9A7" w14:textId="64590726" w:rsidR="001E480D" w:rsidRPr="00AB655A" w:rsidRDefault="0066664E"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Human Resource Unit</w:t>
            </w:r>
          </w:p>
          <w:p w14:paraId="0E99AB2F" w14:textId="5DA563BE" w:rsidR="001E480D" w:rsidRPr="00AB655A" w:rsidRDefault="0066664E"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Legal Unit</w:t>
            </w:r>
          </w:p>
        </w:tc>
        <w:tc>
          <w:tcPr>
            <w:cnfStyle w:val="000010000000" w:firstRow="0" w:lastRow="0" w:firstColumn="0" w:lastColumn="0" w:oddVBand="1" w:evenVBand="0" w:oddHBand="0" w:evenHBand="0" w:firstRowFirstColumn="0" w:firstRowLastColumn="0" w:lastRowFirstColumn="0" w:lastRowLastColumn="0"/>
            <w:tcW w:w="659" w:type="pct"/>
          </w:tcPr>
          <w:p w14:paraId="3848EAF7" w14:textId="4F805A9F" w:rsidR="001E480D" w:rsidRPr="00AB655A" w:rsidRDefault="0066664E" w:rsidP="0066664E">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from the Unit of Human Resources and the Legal Unit</w:t>
            </w:r>
          </w:p>
        </w:tc>
        <w:tc>
          <w:tcPr>
            <w:tcW w:w="405" w:type="pct"/>
          </w:tcPr>
          <w:p w14:paraId="606AC4BE" w14:textId="667B37EA" w:rsidR="001E480D" w:rsidRPr="00AB655A" w:rsidRDefault="00795BAE" w:rsidP="00795BAE">
            <w:pPr>
              <w:spacing w:before="0"/>
              <w:ind w:right="-24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en-US"/>
              </w:rPr>
            </w:pPr>
            <w:r w:rsidRPr="00AB655A">
              <w:rPr>
                <w:rFonts w:asciiTheme="majorHAnsi" w:eastAsia="Calibri" w:hAnsiTheme="majorHAnsi" w:cstheme="majorHAnsi"/>
                <w:lang w:val="en-US"/>
              </w:rPr>
              <w:t>Short</w:t>
            </w:r>
          </w:p>
        </w:tc>
        <w:tc>
          <w:tcPr>
            <w:cnfStyle w:val="000010000000" w:firstRow="0" w:lastRow="0" w:firstColumn="0" w:lastColumn="0" w:oddVBand="1" w:evenVBand="0" w:oddHBand="0" w:evenHBand="0" w:firstRowFirstColumn="0" w:firstRowLastColumn="0" w:lastRowFirstColumn="0" w:lastRowLastColumn="0"/>
            <w:tcW w:w="911" w:type="pct"/>
          </w:tcPr>
          <w:p w14:paraId="5C5965D2" w14:textId="6CA40560" w:rsidR="001E480D" w:rsidRPr="00AB655A" w:rsidRDefault="001E480D" w:rsidP="001E480D">
            <w:pPr>
              <w:spacing w:before="0"/>
              <w:rPr>
                <w:rFonts w:asciiTheme="majorHAnsi" w:eastAsia="Calibri" w:hAnsiTheme="majorHAnsi" w:cstheme="majorHAnsi"/>
                <w:lang w:val="en-US"/>
              </w:rPr>
            </w:pPr>
          </w:p>
          <w:p w14:paraId="6B6F16C7" w14:textId="6A8A218E" w:rsidR="001E480D" w:rsidRPr="00AB655A" w:rsidRDefault="0066664E" w:rsidP="001E480D">
            <w:pPr>
              <w:spacing w:before="0"/>
              <w:rPr>
                <w:rFonts w:asciiTheme="majorHAnsi" w:eastAsia="Calibri" w:hAnsiTheme="majorHAnsi" w:cstheme="majorHAnsi"/>
                <w:lang w:val="en-US"/>
              </w:rPr>
            </w:pPr>
            <w:r w:rsidRPr="00AB655A">
              <w:rPr>
                <w:rFonts w:asciiTheme="majorHAnsi" w:eastAsia="Calibri" w:hAnsiTheme="majorHAnsi" w:cstheme="majorHAnsi"/>
                <w:lang w:val="en-US"/>
              </w:rPr>
              <w:t>Change in the percentage of reports of harassment in the institution.</w:t>
            </w:r>
          </w:p>
          <w:p w14:paraId="7B0AA402" w14:textId="5C4C3702" w:rsidR="001E480D" w:rsidRPr="00AB655A" w:rsidRDefault="00602BA1" w:rsidP="001E480D">
            <w:pPr>
              <w:rPr>
                <w:rFonts w:asciiTheme="majorHAnsi" w:eastAsia="MS Mincho" w:hAnsiTheme="majorHAnsi" w:cstheme="majorHAnsi"/>
                <w:lang w:val="en-US"/>
              </w:rPr>
            </w:pPr>
            <w:r>
              <w:rPr>
                <w:rFonts w:asciiTheme="majorHAnsi" w:eastAsia="MS Mincho" w:hAnsiTheme="majorHAnsi" w:cstheme="majorHAnsi"/>
                <w:lang w:val="en-US"/>
              </w:rPr>
              <w:t xml:space="preserve">Administrative, </w:t>
            </w:r>
            <w:r w:rsidR="002E040A">
              <w:rPr>
                <w:rFonts w:asciiTheme="majorHAnsi" w:eastAsia="MS Mincho" w:hAnsiTheme="majorHAnsi" w:cstheme="majorHAnsi"/>
                <w:lang w:val="en-US"/>
              </w:rPr>
              <w:t>labor</w:t>
            </w:r>
            <w:r>
              <w:rPr>
                <w:rFonts w:asciiTheme="majorHAnsi" w:eastAsia="MS Mincho" w:hAnsiTheme="majorHAnsi" w:cstheme="majorHAnsi"/>
                <w:lang w:val="en-US"/>
              </w:rPr>
              <w:t>, and criminal sanction procedures.</w:t>
            </w:r>
          </w:p>
        </w:tc>
        <w:tc>
          <w:tcPr>
            <w:tcW w:w="697" w:type="pct"/>
          </w:tcPr>
          <w:p w14:paraId="6242CBA6" w14:textId="5EF572AF" w:rsidR="001E480D" w:rsidRPr="00AB655A" w:rsidRDefault="0066664E"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Internal regulations of the institution</w:t>
            </w:r>
            <w:r w:rsidR="00602BA1">
              <w:rPr>
                <w:rFonts w:asciiTheme="majorHAnsi" w:eastAsia="MS Mincho" w:hAnsiTheme="majorHAnsi" w:cstheme="majorHAnsi"/>
                <w:lang w:val="en-US"/>
              </w:rPr>
              <w:t xml:space="preserve"> that include administrative, </w:t>
            </w:r>
            <w:r w:rsidR="002E040A">
              <w:rPr>
                <w:rFonts w:asciiTheme="majorHAnsi" w:eastAsia="MS Mincho" w:hAnsiTheme="majorHAnsi" w:cstheme="majorHAnsi"/>
                <w:lang w:val="en-US"/>
              </w:rPr>
              <w:t>labor</w:t>
            </w:r>
            <w:r w:rsidR="00602BA1">
              <w:rPr>
                <w:rFonts w:asciiTheme="majorHAnsi" w:eastAsia="MS Mincho" w:hAnsiTheme="majorHAnsi" w:cstheme="majorHAnsi"/>
                <w:lang w:val="en-US"/>
              </w:rPr>
              <w:t xml:space="preserve">, and criminal </w:t>
            </w:r>
            <w:r w:rsidR="00602BA1">
              <w:rPr>
                <w:rFonts w:asciiTheme="majorHAnsi" w:eastAsia="MS Mincho" w:hAnsiTheme="majorHAnsi" w:cstheme="majorHAnsi"/>
                <w:lang w:val="en-US"/>
              </w:rPr>
              <w:lastRenderedPageBreak/>
              <w:t>sanction procedures</w:t>
            </w:r>
            <w:r w:rsidRPr="00AB655A">
              <w:rPr>
                <w:rFonts w:asciiTheme="majorHAnsi" w:eastAsia="MS Mincho" w:hAnsiTheme="majorHAnsi" w:cstheme="majorHAnsi"/>
                <w:lang w:val="en-US"/>
              </w:rPr>
              <w:t>.</w:t>
            </w:r>
          </w:p>
        </w:tc>
      </w:tr>
      <w:tr w:rsidR="001E480D" w:rsidRPr="00ED097B" w14:paraId="7A7C8A40"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7" w:type="pct"/>
          </w:tcPr>
          <w:p w14:paraId="40403477" w14:textId="159ACCA5" w:rsidR="001E480D" w:rsidRPr="00AB655A" w:rsidRDefault="001E480D" w:rsidP="001E480D">
            <w:pPr>
              <w:rPr>
                <w:rFonts w:asciiTheme="majorHAnsi" w:eastAsia="MS Mincho" w:hAnsiTheme="majorHAnsi" w:cstheme="majorHAnsi"/>
                <w:bCs w:val="0"/>
                <w:color w:val="000000"/>
                <w:lang w:val="en-US" w:eastAsia="es-ES"/>
              </w:rPr>
            </w:pPr>
            <w:r w:rsidRPr="00AB655A">
              <w:rPr>
                <w:rFonts w:asciiTheme="majorHAnsi" w:eastAsia="MS Mincho" w:hAnsiTheme="majorHAnsi" w:cstheme="majorHAnsi"/>
                <w:color w:val="000000"/>
                <w:lang w:val="en-US" w:eastAsia="es-ES"/>
              </w:rPr>
              <w:lastRenderedPageBreak/>
              <w:t xml:space="preserve">3.4. </w:t>
            </w:r>
            <w:r w:rsidR="00B22AF3" w:rsidRPr="00AB655A">
              <w:rPr>
                <w:rFonts w:asciiTheme="majorHAnsi" w:eastAsia="MS Mincho" w:hAnsiTheme="majorHAnsi" w:cstheme="majorHAnsi"/>
                <w:color w:val="000000"/>
                <w:lang w:val="en-US" w:eastAsia="es-ES"/>
              </w:rPr>
              <w:t>Promote the adoption of</w:t>
            </w:r>
            <w:r w:rsidR="007464EB">
              <w:rPr>
                <w:rFonts w:asciiTheme="majorHAnsi" w:eastAsia="MS Mincho" w:hAnsiTheme="majorHAnsi" w:cstheme="majorHAnsi"/>
                <w:color w:val="000000"/>
                <w:lang w:val="en-US" w:eastAsia="es-ES"/>
              </w:rPr>
              <w:t xml:space="preserve"> a joint responsibility and</w:t>
            </w:r>
            <w:r w:rsidR="00B22AF3" w:rsidRPr="00AB655A">
              <w:rPr>
                <w:rFonts w:asciiTheme="majorHAnsi" w:eastAsia="MS Mincho" w:hAnsiTheme="majorHAnsi" w:cstheme="majorHAnsi"/>
                <w:color w:val="000000"/>
                <w:lang w:val="en-US" w:eastAsia="es-ES"/>
              </w:rPr>
              <w:t xml:space="preserve"> work-life balance policy</w:t>
            </w:r>
          </w:p>
        </w:tc>
        <w:tc>
          <w:tcPr>
            <w:cnfStyle w:val="000010000000" w:firstRow="0" w:lastRow="0" w:firstColumn="0" w:lastColumn="0" w:oddVBand="1" w:evenVBand="0" w:oddHBand="0" w:evenHBand="0" w:firstRowFirstColumn="0" w:firstRowLastColumn="0" w:lastRowFirstColumn="0" w:lastRowLastColumn="0"/>
            <w:tcW w:w="1064" w:type="pct"/>
          </w:tcPr>
          <w:p w14:paraId="7A29959D" w14:textId="0D8C5776" w:rsidR="001E480D" w:rsidRPr="00AB655A" w:rsidRDefault="001E480D" w:rsidP="003C19FB">
            <w:pPr>
              <w:rPr>
                <w:rFonts w:asciiTheme="majorHAnsi" w:eastAsia="MS Mincho" w:hAnsiTheme="majorHAnsi" w:cstheme="majorHAnsi"/>
                <w:lang w:val="en-US"/>
              </w:rPr>
            </w:pPr>
            <w:r w:rsidRPr="00AB655A">
              <w:rPr>
                <w:rFonts w:asciiTheme="majorHAnsi" w:eastAsia="MS Mincho" w:hAnsiTheme="majorHAnsi" w:cstheme="majorHAnsi"/>
                <w:bCs/>
                <w:color w:val="000000"/>
                <w:lang w:val="en-US" w:eastAsia="es-ES"/>
              </w:rPr>
              <w:t xml:space="preserve">3.4.1 </w:t>
            </w:r>
            <w:r w:rsidR="003C19FB" w:rsidRPr="00AB655A">
              <w:rPr>
                <w:rFonts w:asciiTheme="majorHAnsi" w:eastAsia="MS Mincho" w:hAnsiTheme="majorHAnsi" w:cstheme="majorHAnsi"/>
                <w:bCs/>
                <w:color w:val="000000"/>
                <w:lang w:val="en-US" w:eastAsia="es-ES"/>
              </w:rPr>
              <w:t>Ensure that the gender indicators of the Human Resource Informational System incorporate indicators that specifically address the situation of workers with family responsibilities that, consequently, allow the Institution to identify their needs on the matter.</w:t>
            </w:r>
          </w:p>
        </w:tc>
        <w:tc>
          <w:tcPr>
            <w:tcW w:w="607" w:type="pct"/>
          </w:tcPr>
          <w:p w14:paraId="7F91E95E" w14:textId="0C2BDE0A" w:rsidR="001E480D" w:rsidRPr="00AB655A" w:rsidRDefault="003C19FB"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Administrative Unit</w:t>
            </w:r>
          </w:p>
          <w:p w14:paraId="285DA6D1" w14:textId="1A1D2561" w:rsidR="001E480D" w:rsidRPr="00AB655A" w:rsidRDefault="003C19FB"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Human Resource Unit</w:t>
            </w:r>
          </w:p>
        </w:tc>
        <w:tc>
          <w:tcPr>
            <w:cnfStyle w:val="000010000000" w:firstRow="0" w:lastRow="0" w:firstColumn="0" w:lastColumn="0" w:oddVBand="1" w:evenVBand="0" w:oddHBand="0" w:evenHBand="0" w:firstRowFirstColumn="0" w:firstRowLastColumn="0" w:lastRowFirstColumn="0" w:lastRowLastColumn="0"/>
            <w:tcW w:w="659" w:type="pct"/>
          </w:tcPr>
          <w:p w14:paraId="2BD5604A" w14:textId="193B80B9" w:rsidR="001E480D" w:rsidRPr="00AB655A" w:rsidRDefault="003C19FB" w:rsidP="003C19FB">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 from the Unit of Human Resources</w:t>
            </w:r>
          </w:p>
        </w:tc>
        <w:tc>
          <w:tcPr>
            <w:tcW w:w="405" w:type="pct"/>
            <w:vAlign w:val="center"/>
          </w:tcPr>
          <w:p w14:paraId="33DBD1D9" w14:textId="6C97C61F" w:rsidR="001E480D" w:rsidRPr="00AB655A" w:rsidRDefault="003C19FB" w:rsidP="000C3C7A">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Short</w:t>
            </w:r>
          </w:p>
        </w:tc>
        <w:tc>
          <w:tcPr>
            <w:cnfStyle w:val="000010000000" w:firstRow="0" w:lastRow="0" w:firstColumn="0" w:lastColumn="0" w:oddVBand="1" w:evenVBand="0" w:oddHBand="0" w:evenHBand="0" w:firstRowFirstColumn="0" w:firstRowLastColumn="0" w:lastRowFirstColumn="0" w:lastRowLastColumn="0"/>
            <w:tcW w:w="911" w:type="pct"/>
          </w:tcPr>
          <w:p w14:paraId="097E2611" w14:textId="5DA40F86" w:rsidR="001E480D" w:rsidRPr="00AB655A" w:rsidRDefault="003C19FB"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Indicators that measure the situation of workers with family responsibilities </w:t>
            </w:r>
            <w:proofErr w:type="gramStart"/>
            <w:r w:rsidRPr="00AB655A">
              <w:rPr>
                <w:rFonts w:asciiTheme="majorHAnsi" w:eastAsia="MS Mincho" w:hAnsiTheme="majorHAnsi" w:cstheme="majorHAnsi"/>
                <w:lang w:val="en-US"/>
              </w:rPr>
              <w:t>as a result of</w:t>
            </w:r>
            <w:proofErr w:type="gramEnd"/>
            <w:r w:rsidRPr="00AB655A">
              <w:rPr>
                <w:rFonts w:asciiTheme="majorHAnsi" w:eastAsia="MS Mincho" w:hAnsiTheme="majorHAnsi" w:cstheme="majorHAnsi"/>
                <w:lang w:val="en-US"/>
              </w:rPr>
              <w:t xml:space="preserve"> the implementation of compatibility measures have been included in the Human Resource Informational System.</w:t>
            </w:r>
          </w:p>
          <w:p w14:paraId="130E38F1" w14:textId="077B85B8" w:rsidR="001E480D" w:rsidRPr="00AB655A" w:rsidRDefault="003C19FB" w:rsidP="003C19FB">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The indicators are monitored on a biannual basis. </w:t>
            </w:r>
          </w:p>
        </w:tc>
        <w:tc>
          <w:tcPr>
            <w:tcW w:w="697" w:type="pct"/>
          </w:tcPr>
          <w:p w14:paraId="23AB377D" w14:textId="52B2A084" w:rsidR="001E480D" w:rsidRPr="00AB655A" w:rsidRDefault="003C19FB" w:rsidP="005F395D">
            <w:pPr>
              <w:pStyle w:val="ListParagraph"/>
              <w:ind w:left="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Information System from the Department of Human Resources.</w:t>
            </w:r>
          </w:p>
        </w:tc>
      </w:tr>
      <w:tr w:rsidR="001E480D" w:rsidRPr="00AB655A" w14:paraId="12B7EA7C"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657" w:type="pct"/>
          </w:tcPr>
          <w:p w14:paraId="0938B71B" w14:textId="77777777" w:rsidR="001E480D" w:rsidRPr="00AB655A" w:rsidRDefault="001E480D" w:rsidP="001E480D">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64" w:type="pct"/>
          </w:tcPr>
          <w:p w14:paraId="5FD52B4C" w14:textId="6EA9867E" w:rsidR="001E480D" w:rsidRPr="00AB655A" w:rsidRDefault="00981709" w:rsidP="009323E9">
            <w:pPr>
              <w:rPr>
                <w:rFonts w:asciiTheme="majorHAnsi" w:eastAsia="MS Mincho" w:hAnsiTheme="majorHAnsi" w:cstheme="majorHAnsi"/>
                <w:lang w:val="en-US"/>
              </w:rPr>
            </w:pPr>
            <w:r w:rsidRPr="00AB655A">
              <w:rPr>
                <w:rFonts w:asciiTheme="majorHAnsi" w:eastAsia="MS Mincho" w:hAnsiTheme="majorHAnsi" w:cstheme="majorHAnsi"/>
                <w:lang w:val="en-US"/>
              </w:rPr>
              <w:t xml:space="preserve">3.4.2 </w:t>
            </w:r>
            <w:r w:rsidR="003C19FB" w:rsidRPr="00AB655A">
              <w:rPr>
                <w:rFonts w:asciiTheme="majorHAnsi" w:eastAsia="MS Mincho" w:hAnsiTheme="majorHAnsi" w:cstheme="majorHAnsi"/>
                <w:lang w:val="en-US"/>
              </w:rPr>
              <w:t xml:space="preserve">Include a chapter on the </w:t>
            </w:r>
            <w:r w:rsidR="007464EB">
              <w:rPr>
                <w:rFonts w:asciiTheme="majorHAnsi" w:eastAsia="MS Mincho" w:hAnsiTheme="majorHAnsi" w:cstheme="majorHAnsi"/>
                <w:lang w:val="en-US"/>
              </w:rPr>
              <w:t xml:space="preserve">joint responsibility and </w:t>
            </w:r>
            <w:r w:rsidR="003C19FB" w:rsidRPr="00AB655A">
              <w:rPr>
                <w:rFonts w:asciiTheme="majorHAnsi" w:eastAsia="MS Mincho" w:hAnsiTheme="majorHAnsi" w:cstheme="majorHAnsi"/>
                <w:lang w:val="en-US"/>
              </w:rPr>
              <w:t>work-life balance policy for the insti</w:t>
            </w:r>
            <w:r w:rsidRPr="00AB655A">
              <w:rPr>
                <w:rFonts w:asciiTheme="majorHAnsi" w:eastAsia="MS Mincho" w:hAnsiTheme="majorHAnsi" w:cstheme="majorHAnsi"/>
                <w:lang w:val="en-US"/>
              </w:rPr>
              <w:t>t</w:t>
            </w:r>
            <w:r w:rsidR="003C19FB" w:rsidRPr="00AB655A">
              <w:rPr>
                <w:rFonts w:asciiTheme="majorHAnsi" w:eastAsia="MS Mincho" w:hAnsiTheme="majorHAnsi" w:cstheme="majorHAnsi"/>
                <w:lang w:val="en-US"/>
              </w:rPr>
              <w:t>ution’s officials in the Staff Regulations</w:t>
            </w:r>
            <w:r w:rsidR="009323E9" w:rsidRPr="00AB655A">
              <w:rPr>
                <w:rFonts w:asciiTheme="majorHAnsi" w:eastAsia="MS Mincho" w:hAnsiTheme="majorHAnsi" w:cstheme="majorHAnsi"/>
                <w:lang w:val="en-US"/>
              </w:rPr>
              <w:t>, regardless of the type of contract, sex, sexual orientation and identity, and marital status.</w:t>
            </w:r>
          </w:p>
        </w:tc>
        <w:tc>
          <w:tcPr>
            <w:tcW w:w="607" w:type="pct"/>
          </w:tcPr>
          <w:p w14:paraId="66D25559" w14:textId="1755F1E1" w:rsidR="001E480D" w:rsidRPr="00AB655A" w:rsidRDefault="00981709"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Human Resource Unit</w:t>
            </w:r>
          </w:p>
          <w:p w14:paraId="0FEAEE0F" w14:textId="5217CD99" w:rsidR="001E480D" w:rsidRPr="00AB655A" w:rsidRDefault="00981709"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Legal Unit</w:t>
            </w:r>
          </w:p>
        </w:tc>
        <w:tc>
          <w:tcPr>
            <w:cnfStyle w:val="000010000000" w:firstRow="0" w:lastRow="0" w:firstColumn="0" w:lastColumn="0" w:oddVBand="1" w:evenVBand="0" w:oddHBand="0" w:evenHBand="0" w:firstRowFirstColumn="0" w:firstRowLastColumn="0" w:lastRowFirstColumn="0" w:lastRowLastColumn="0"/>
            <w:tcW w:w="659" w:type="pct"/>
          </w:tcPr>
          <w:p w14:paraId="42BB7B0F" w14:textId="5998A383" w:rsidR="001E480D" w:rsidRPr="00AB655A" w:rsidRDefault="00981709" w:rsidP="001E480D">
            <w:pPr>
              <w:jc w:val="center"/>
              <w:rPr>
                <w:rFonts w:asciiTheme="majorHAnsi" w:eastAsia="MS Mincho" w:hAnsiTheme="majorHAnsi" w:cstheme="majorHAnsi"/>
                <w:lang w:val="en-US"/>
              </w:rPr>
            </w:pPr>
            <w:r w:rsidRPr="00AB655A">
              <w:rPr>
                <w:rFonts w:asciiTheme="majorHAnsi" w:eastAsia="MS Mincho" w:hAnsiTheme="majorHAnsi" w:cstheme="majorHAnsi"/>
                <w:lang w:val="en-US"/>
              </w:rPr>
              <w:t>Short</w:t>
            </w:r>
          </w:p>
        </w:tc>
        <w:tc>
          <w:tcPr>
            <w:tcW w:w="405" w:type="pct"/>
          </w:tcPr>
          <w:p w14:paraId="2D6CBE79" w14:textId="77777777" w:rsidR="001E480D" w:rsidRPr="00AB655A" w:rsidRDefault="001E480D" w:rsidP="001E480D">
            <w:pPr>
              <w:ind w:left="31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p>
        </w:tc>
        <w:tc>
          <w:tcPr>
            <w:cnfStyle w:val="000010000000" w:firstRow="0" w:lastRow="0" w:firstColumn="0" w:lastColumn="0" w:oddVBand="1" w:evenVBand="0" w:oddHBand="0" w:evenHBand="0" w:firstRowFirstColumn="0" w:firstRowLastColumn="0" w:lastRowFirstColumn="0" w:lastRowLastColumn="0"/>
            <w:tcW w:w="911" w:type="pct"/>
          </w:tcPr>
          <w:p w14:paraId="3FD4017F" w14:textId="78998495" w:rsidR="001E480D" w:rsidRPr="00AB655A" w:rsidRDefault="0013514E" w:rsidP="0013514E">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The staff of the institution uses </w:t>
            </w:r>
            <w:r w:rsidR="007464EB">
              <w:rPr>
                <w:rFonts w:asciiTheme="majorHAnsi" w:eastAsia="MS Mincho" w:hAnsiTheme="majorHAnsi" w:cstheme="majorHAnsi"/>
                <w:lang w:val="en-US"/>
              </w:rPr>
              <w:t xml:space="preserve">joint responsibility and </w:t>
            </w:r>
            <w:r w:rsidRPr="00AB655A">
              <w:rPr>
                <w:rFonts w:asciiTheme="majorHAnsi" w:eastAsia="MS Mincho" w:hAnsiTheme="majorHAnsi" w:cstheme="majorHAnsi"/>
                <w:lang w:val="en-US"/>
              </w:rPr>
              <w:t>work-life balance measures equally.</w:t>
            </w:r>
          </w:p>
        </w:tc>
        <w:tc>
          <w:tcPr>
            <w:tcW w:w="697" w:type="pct"/>
          </w:tcPr>
          <w:p w14:paraId="434A414C" w14:textId="0CC9867F" w:rsidR="001E480D" w:rsidRPr="00AB655A" w:rsidRDefault="0013514E"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Staff Regulations.</w:t>
            </w:r>
          </w:p>
        </w:tc>
      </w:tr>
      <w:bookmarkEnd w:id="10"/>
    </w:tbl>
    <w:p w14:paraId="51E8D101" w14:textId="3E4DA559" w:rsidR="0023632B" w:rsidRPr="00AB655A" w:rsidRDefault="0023632B">
      <w:pPr>
        <w:rPr>
          <w:rFonts w:ascii="Tahoma" w:hAnsi="Tahoma" w:cs="Tahoma"/>
          <w:lang w:val="en-US"/>
        </w:rPr>
      </w:pPr>
    </w:p>
    <w:p w14:paraId="43CD0B38" w14:textId="2C342C8D" w:rsidR="000C3C7A" w:rsidRPr="00AB655A" w:rsidRDefault="000C3C7A">
      <w:pPr>
        <w:rPr>
          <w:rFonts w:ascii="Tahoma" w:hAnsi="Tahoma" w:cs="Tahoma"/>
          <w:lang w:val="en-US"/>
        </w:rPr>
      </w:pPr>
    </w:p>
    <w:p w14:paraId="689DE274" w14:textId="0C05760D" w:rsidR="000C3C7A" w:rsidRPr="00AB655A" w:rsidRDefault="000C3C7A">
      <w:pPr>
        <w:rPr>
          <w:rFonts w:ascii="Tahoma" w:hAnsi="Tahoma" w:cs="Tahoma"/>
          <w:lang w:val="en-US"/>
        </w:rPr>
      </w:pPr>
    </w:p>
    <w:p w14:paraId="488E9881" w14:textId="77777777" w:rsidR="000C3C7A" w:rsidRPr="00AB655A" w:rsidRDefault="000C3C7A">
      <w:pPr>
        <w:rPr>
          <w:rFonts w:ascii="Tahoma" w:hAnsi="Tahoma" w:cs="Tahoma"/>
          <w:lang w:val="en-US"/>
        </w:rPr>
      </w:pPr>
    </w:p>
    <w:tbl>
      <w:tblPr>
        <w:tblStyle w:val="GridTable4-Accent1"/>
        <w:tblW w:w="4962" w:type="pct"/>
        <w:tblLayout w:type="fixed"/>
        <w:tblLook w:val="00A0" w:firstRow="1" w:lastRow="0" w:firstColumn="1" w:lastColumn="0" w:noHBand="0" w:noVBand="0"/>
      </w:tblPr>
      <w:tblGrid>
        <w:gridCol w:w="1977"/>
        <w:gridCol w:w="2839"/>
        <w:gridCol w:w="1983"/>
        <w:gridCol w:w="1842"/>
        <w:gridCol w:w="1161"/>
        <w:gridCol w:w="2239"/>
        <w:gridCol w:w="1847"/>
      </w:tblGrid>
      <w:tr w:rsidR="001E480D" w:rsidRPr="00ED097B" w14:paraId="5EF5C9CC" w14:textId="77777777" w:rsidTr="2425A84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000" w:type="pct"/>
            <w:gridSpan w:val="7"/>
          </w:tcPr>
          <w:p w14:paraId="2AA38AD4" w14:textId="22C77FC0" w:rsidR="001E480D" w:rsidRPr="00AB655A" w:rsidRDefault="0023632B" w:rsidP="00747EA6">
            <w:pPr>
              <w:jc w:val="center"/>
              <w:rPr>
                <w:rFonts w:asciiTheme="majorHAnsi" w:eastAsia="MS Mincho" w:hAnsiTheme="majorHAnsi" w:cstheme="majorHAnsi"/>
                <w:sz w:val="28"/>
                <w:szCs w:val="28"/>
                <w:lang w:val="en-US"/>
              </w:rPr>
            </w:pPr>
            <w:r w:rsidRPr="00AB655A">
              <w:rPr>
                <w:rFonts w:asciiTheme="majorHAnsi" w:hAnsiTheme="majorHAnsi" w:cstheme="majorHAnsi"/>
                <w:sz w:val="28"/>
                <w:szCs w:val="28"/>
                <w:lang w:val="en-US"/>
              </w:rPr>
              <w:br w:type="page"/>
            </w:r>
            <w:r w:rsidR="00C50653" w:rsidRPr="00AB655A">
              <w:rPr>
                <w:rFonts w:asciiTheme="majorHAnsi" w:eastAsia="MS Mincho" w:hAnsiTheme="majorHAnsi" w:cstheme="majorHAnsi"/>
                <w:sz w:val="28"/>
                <w:szCs w:val="28"/>
                <w:lang w:val="en-US"/>
              </w:rPr>
              <w:t>Line of action 4: Strengthen the skills of officials on gender</w:t>
            </w:r>
          </w:p>
          <w:p w14:paraId="3A9771CE" w14:textId="244CA004" w:rsidR="000C3C7A" w:rsidRPr="00AB655A" w:rsidRDefault="000C3C7A" w:rsidP="001E480D">
            <w:pPr>
              <w:rPr>
                <w:rFonts w:eastAsia="MS Mincho"/>
                <w:b w:val="0"/>
                <w:bCs w:val="0"/>
                <w:sz w:val="28"/>
                <w:szCs w:val="28"/>
                <w:lang w:val="en-US"/>
              </w:rPr>
            </w:pPr>
          </w:p>
        </w:tc>
      </w:tr>
      <w:tr w:rsidR="00F0593F" w:rsidRPr="00AB655A" w14:paraId="49DEC657" w14:textId="77777777" w:rsidTr="2425A84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712" w:type="pct"/>
            <w:shd w:val="clear" w:color="auto" w:fill="D4EAF3" w:themeFill="accent1" w:themeFillTint="33"/>
          </w:tcPr>
          <w:p w14:paraId="164B73E0" w14:textId="1AC7054E" w:rsidR="00F0593F" w:rsidRPr="00AB655A" w:rsidRDefault="00795BAE" w:rsidP="002B44D2">
            <w:pPr>
              <w:jc w:val="center"/>
              <w:rPr>
                <w:rFonts w:asciiTheme="majorHAnsi" w:eastAsia="MS Mincho" w:hAnsiTheme="majorHAnsi" w:cstheme="majorHAnsi"/>
                <w:b w:val="0"/>
                <w:color w:val="auto"/>
                <w:lang w:val="en-US" w:eastAsia="es-ES"/>
              </w:rPr>
            </w:pPr>
            <w:r w:rsidRPr="00AB655A">
              <w:rPr>
                <w:rFonts w:asciiTheme="majorHAnsi" w:eastAsia="MS Mincho" w:hAnsiTheme="majorHAnsi" w:cstheme="majorHAnsi"/>
                <w:color w:val="auto"/>
                <w:lang w:val="en-US" w:eastAsia="es-ES"/>
              </w:rPr>
              <w:t>Strategic objective</w:t>
            </w:r>
          </w:p>
        </w:tc>
        <w:tc>
          <w:tcPr>
            <w:cnfStyle w:val="000010000000" w:firstRow="0" w:lastRow="0" w:firstColumn="0" w:lastColumn="0" w:oddVBand="1" w:evenVBand="0" w:oddHBand="0" w:evenHBand="0" w:firstRowFirstColumn="0" w:firstRowLastColumn="0" w:lastRowFirstColumn="0" w:lastRowLastColumn="0"/>
            <w:tcW w:w="1022" w:type="pct"/>
            <w:shd w:val="clear" w:color="auto" w:fill="D4EAF3" w:themeFill="accent1" w:themeFillTint="33"/>
          </w:tcPr>
          <w:p w14:paraId="67A906E7" w14:textId="40C50BB6" w:rsidR="00F0593F" w:rsidRPr="00AB655A" w:rsidRDefault="00795BAE" w:rsidP="002B44D2">
            <w:pPr>
              <w:jc w:val="center"/>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Activities</w:t>
            </w:r>
          </w:p>
        </w:tc>
        <w:tc>
          <w:tcPr>
            <w:tcW w:w="714" w:type="pct"/>
            <w:shd w:val="clear" w:color="auto" w:fill="D4EAF3" w:themeFill="accent1" w:themeFillTint="33"/>
          </w:tcPr>
          <w:p w14:paraId="5A7AC467" w14:textId="05C16E4D" w:rsidR="00F0593F" w:rsidRPr="00AB655A" w:rsidRDefault="00795BAE" w:rsidP="002B44D2">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lang w:val="en-US" w:eastAsia="es-ES"/>
              </w:rPr>
            </w:pPr>
            <w:r w:rsidRPr="00AB655A">
              <w:rPr>
                <w:rFonts w:asciiTheme="majorHAnsi" w:eastAsia="MS Mincho" w:hAnsiTheme="majorHAnsi" w:cstheme="majorHAnsi"/>
                <w:color w:val="auto"/>
                <w:lang w:val="en-US"/>
              </w:rPr>
              <w:t>Entity in charge and support</w:t>
            </w:r>
          </w:p>
        </w:tc>
        <w:tc>
          <w:tcPr>
            <w:cnfStyle w:val="000010000000" w:firstRow="0" w:lastRow="0" w:firstColumn="0" w:lastColumn="0" w:oddVBand="1" w:evenVBand="0" w:oddHBand="0" w:evenHBand="0" w:firstRowFirstColumn="0" w:firstRowLastColumn="0" w:lastRowFirstColumn="0" w:lastRowLastColumn="0"/>
            <w:tcW w:w="663" w:type="pct"/>
            <w:shd w:val="clear" w:color="auto" w:fill="D4EAF3" w:themeFill="accent1" w:themeFillTint="33"/>
          </w:tcPr>
          <w:p w14:paraId="32CD8041" w14:textId="6EB6CF7A" w:rsidR="00F0593F" w:rsidRPr="00AB655A" w:rsidRDefault="00795BAE" w:rsidP="002B44D2">
            <w:pPr>
              <w:jc w:val="center"/>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Resources</w:t>
            </w:r>
          </w:p>
        </w:tc>
        <w:tc>
          <w:tcPr>
            <w:tcW w:w="418" w:type="pct"/>
            <w:shd w:val="clear" w:color="auto" w:fill="D4EAF3" w:themeFill="accent1" w:themeFillTint="33"/>
          </w:tcPr>
          <w:p w14:paraId="10BE197B" w14:textId="6B42C089" w:rsidR="00F0593F" w:rsidRPr="00AB655A" w:rsidRDefault="00795BAE" w:rsidP="002B44D2">
            <w:pPr>
              <w:ind w:left="317"/>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Timeframe</w:t>
            </w:r>
          </w:p>
        </w:tc>
        <w:tc>
          <w:tcPr>
            <w:cnfStyle w:val="000010000000" w:firstRow="0" w:lastRow="0" w:firstColumn="0" w:lastColumn="0" w:oddVBand="1" w:evenVBand="0" w:oddHBand="0" w:evenHBand="0" w:firstRowFirstColumn="0" w:firstRowLastColumn="0" w:lastRowFirstColumn="0" w:lastRowLastColumn="0"/>
            <w:tcW w:w="806" w:type="pct"/>
            <w:shd w:val="clear" w:color="auto" w:fill="D4EAF3" w:themeFill="accent1" w:themeFillTint="33"/>
          </w:tcPr>
          <w:p w14:paraId="67E42B52" w14:textId="3005E808" w:rsidR="00F0593F" w:rsidRPr="00AB655A" w:rsidRDefault="00795BAE" w:rsidP="002B44D2">
            <w:pPr>
              <w:jc w:val="center"/>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Indicators</w:t>
            </w:r>
          </w:p>
        </w:tc>
        <w:tc>
          <w:tcPr>
            <w:tcW w:w="665" w:type="pct"/>
            <w:shd w:val="clear" w:color="auto" w:fill="D4EAF3" w:themeFill="accent1" w:themeFillTint="33"/>
          </w:tcPr>
          <w:p w14:paraId="375EC600" w14:textId="6489A0FC" w:rsidR="00F0593F" w:rsidRPr="00AB655A" w:rsidRDefault="00795BAE" w:rsidP="002B44D2">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Verification methods</w:t>
            </w:r>
          </w:p>
        </w:tc>
      </w:tr>
      <w:tr w:rsidR="000C3C7A" w:rsidRPr="00ED097B" w14:paraId="54191BC7"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12" w:type="pct"/>
            <w:vMerge w:val="restart"/>
          </w:tcPr>
          <w:p w14:paraId="7E79948D" w14:textId="50604F15" w:rsidR="000C3C7A" w:rsidRPr="00AB655A" w:rsidRDefault="000C3C7A" w:rsidP="00F0593F">
            <w:pPr>
              <w:rPr>
                <w:rFonts w:asciiTheme="majorHAnsi" w:eastAsia="MS Mincho" w:hAnsiTheme="majorHAnsi" w:cstheme="majorHAnsi"/>
                <w:bCs w:val="0"/>
                <w:color w:val="000000"/>
                <w:lang w:val="en-US" w:eastAsia="es-ES"/>
              </w:rPr>
            </w:pPr>
            <w:r w:rsidRPr="00AB655A">
              <w:rPr>
                <w:rFonts w:asciiTheme="majorHAnsi" w:eastAsia="MS Mincho" w:hAnsiTheme="majorHAnsi" w:cstheme="majorHAnsi"/>
                <w:color w:val="000000"/>
                <w:lang w:val="en-US" w:eastAsia="es-ES"/>
              </w:rPr>
              <w:t xml:space="preserve">4.1. </w:t>
            </w:r>
            <w:r w:rsidR="00B22AF3" w:rsidRPr="00AB655A">
              <w:rPr>
                <w:rFonts w:asciiTheme="majorHAnsi" w:eastAsia="MS Mincho" w:hAnsiTheme="majorHAnsi" w:cstheme="majorHAnsi"/>
                <w:color w:val="000000"/>
                <w:lang w:val="en-US" w:eastAsia="es-ES"/>
              </w:rPr>
              <w:t>Strengthen the skills of staff on gender to consolidate the gender approach at work and in their daily life</w:t>
            </w:r>
          </w:p>
        </w:tc>
        <w:tc>
          <w:tcPr>
            <w:cnfStyle w:val="000010000000" w:firstRow="0" w:lastRow="0" w:firstColumn="0" w:lastColumn="0" w:oddVBand="1" w:evenVBand="0" w:oddHBand="0" w:evenHBand="0" w:firstRowFirstColumn="0" w:firstRowLastColumn="0" w:lastRowFirstColumn="0" w:lastRowLastColumn="0"/>
            <w:tcW w:w="1022" w:type="pct"/>
          </w:tcPr>
          <w:p w14:paraId="2A397048" w14:textId="38193F0B" w:rsidR="000C3C7A" w:rsidRPr="00AB655A" w:rsidRDefault="000C3C7A" w:rsidP="00F0593F">
            <w:pPr>
              <w:rPr>
                <w:rFonts w:asciiTheme="majorHAnsi" w:eastAsia="MS Mincho" w:hAnsiTheme="majorHAnsi" w:cstheme="majorHAnsi"/>
                <w:bCs/>
                <w:lang w:val="en-US"/>
              </w:rPr>
            </w:pPr>
            <w:r w:rsidRPr="00AB655A">
              <w:rPr>
                <w:rFonts w:asciiTheme="majorHAnsi" w:eastAsia="MS Mincho" w:hAnsiTheme="majorHAnsi" w:cstheme="majorHAnsi"/>
                <w:bCs/>
                <w:lang w:val="en-US"/>
              </w:rPr>
              <w:t xml:space="preserve">4.1.1 </w:t>
            </w:r>
            <w:r w:rsidR="0013514E" w:rsidRPr="00AB655A">
              <w:rPr>
                <w:rFonts w:asciiTheme="majorHAnsi" w:eastAsia="MS Mincho" w:hAnsiTheme="majorHAnsi" w:cstheme="majorHAnsi"/>
                <w:bCs/>
                <w:lang w:val="en-US"/>
              </w:rPr>
              <w:t>Develop a Program for Contin</w:t>
            </w:r>
            <w:r w:rsidR="00DA7F5C" w:rsidRPr="00AB655A">
              <w:rPr>
                <w:rFonts w:asciiTheme="majorHAnsi" w:eastAsia="MS Mincho" w:hAnsiTheme="majorHAnsi" w:cstheme="majorHAnsi"/>
                <w:bCs/>
                <w:lang w:val="en-US"/>
              </w:rPr>
              <w:t>u</w:t>
            </w:r>
            <w:r w:rsidR="0013514E" w:rsidRPr="00AB655A">
              <w:rPr>
                <w:rFonts w:asciiTheme="majorHAnsi" w:eastAsia="MS Mincho" w:hAnsiTheme="majorHAnsi" w:cstheme="majorHAnsi"/>
                <w:bCs/>
                <w:lang w:val="en-US"/>
              </w:rPr>
              <w:t xml:space="preserve">ous Training and Awareness-Raising on Gender used since induction. </w:t>
            </w:r>
          </w:p>
          <w:p w14:paraId="1944DD56" w14:textId="6CA48E51" w:rsidR="0013514E" w:rsidRPr="00AB655A" w:rsidRDefault="0013514E" w:rsidP="00F0593F">
            <w:pPr>
              <w:rPr>
                <w:rFonts w:asciiTheme="majorHAnsi" w:eastAsia="MS Mincho" w:hAnsiTheme="majorHAnsi" w:cstheme="majorHAnsi"/>
                <w:bCs/>
                <w:lang w:val="en-US"/>
              </w:rPr>
            </w:pPr>
          </w:p>
        </w:tc>
        <w:tc>
          <w:tcPr>
            <w:tcW w:w="714" w:type="pct"/>
            <w:vMerge w:val="restart"/>
          </w:tcPr>
          <w:p w14:paraId="648FFCE4" w14:textId="29DA8C4E" w:rsidR="005F395D" w:rsidRPr="00AB655A" w:rsidRDefault="0013514E" w:rsidP="005F395D">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Training Unit</w:t>
            </w:r>
          </w:p>
          <w:p w14:paraId="5D2FCE38" w14:textId="0E0729B1" w:rsidR="0013514E" w:rsidRPr="00AB655A" w:rsidRDefault="0013514E" w:rsidP="0013514E">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National Mechanism for the Advancement of Women</w:t>
            </w:r>
          </w:p>
          <w:p w14:paraId="51EF5C22" w14:textId="198D4F81" w:rsidR="005F395D" w:rsidRPr="00AB655A" w:rsidRDefault="005F395D" w:rsidP="0013514E">
            <w:pPr>
              <w:pStyle w:val="ListParagraph"/>
              <w:ind w:left="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p>
        </w:tc>
        <w:tc>
          <w:tcPr>
            <w:cnfStyle w:val="000010000000" w:firstRow="0" w:lastRow="0" w:firstColumn="0" w:lastColumn="0" w:oddVBand="1" w:evenVBand="0" w:oddHBand="0" w:evenHBand="0" w:firstRowFirstColumn="0" w:firstRowLastColumn="0" w:lastRowFirstColumn="0" w:lastRowLastColumn="0"/>
            <w:tcW w:w="663" w:type="pct"/>
            <w:vMerge w:val="restart"/>
          </w:tcPr>
          <w:p w14:paraId="2D8E96F7" w14:textId="2D6042B7" w:rsidR="000C3C7A" w:rsidRPr="00AB655A" w:rsidRDefault="0013514E"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w:t>
            </w:r>
          </w:p>
          <w:p w14:paraId="45AD2E8C" w14:textId="045937F0" w:rsidR="000C3C7A" w:rsidRPr="00AB655A" w:rsidRDefault="000C3C7A" w:rsidP="005F395D">
            <w:pPr>
              <w:pStyle w:val="ListParagraph"/>
              <w:ind w:left="167"/>
              <w:rPr>
                <w:rFonts w:asciiTheme="majorHAnsi" w:eastAsia="MS Mincho" w:hAnsiTheme="majorHAnsi" w:cstheme="majorHAnsi"/>
                <w:lang w:val="en-US"/>
              </w:rPr>
            </w:pPr>
          </w:p>
        </w:tc>
        <w:tc>
          <w:tcPr>
            <w:tcW w:w="418" w:type="pct"/>
            <w:vMerge w:val="restart"/>
          </w:tcPr>
          <w:p w14:paraId="2ED32EA0" w14:textId="37989D2A" w:rsidR="000C3C7A" w:rsidRPr="00AB655A" w:rsidRDefault="0013514E" w:rsidP="00F0593F">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Short</w:t>
            </w:r>
          </w:p>
          <w:p w14:paraId="1FDF9D22" w14:textId="14B56F3F" w:rsidR="000C3C7A" w:rsidRPr="00AB655A" w:rsidRDefault="000C3C7A" w:rsidP="00F0593F">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p>
        </w:tc>
        <w:tc>
          <w:tcPr>
            <w:cnfStyle w:val="000010000000" w:firstRow="0" w:lastRow="0" w:firstColumn="0" w:lastColumn="0" w:oddVBand="1" w:evenVBand="0" w:oddHBand="0" w:evenHBand="0" w:firstRowFirstColumn="0" w:firstRowLastColumn="0" w:lastRowFirstColumn="0" w:lastRowLastColumn="0"/>
            <w:tcW w:w="806" w:type="pct"/>
            <w:vMerge w:val="restart"/>
          </w:tcPr>
          <w:p w14:paraId="609BE6E2" w14:textId="7D5C31E2" w:rsidR="000C3C7A" w:rsidRPr="00AB655A" w:rsidRDefault="0013514E" w:rsidP="0013514E">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Staff of the institution increases their perceptions and knowledge on gender equality.</w:t>
            </w:r>
          </w:p>
        </w:tc>
        <w:tc>
          <w:tcPr>
            <w:tcW w:w="665" w:type="pct"/>
            <w:vMerge w:val="restart"/>
          </w:tcPr>
          <w:p w14:paraId="6D11849B" w14:textId="528C0D4F" w:rsidR="000C3C7A" w:rsidRPr="00AB655A" w:rsidRDefault="0013514E" w:rsidP="0013514E">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Survey to measure knowledge, perceptions, and attitudes.</w:t>
            </w:r>
          </w:p>
        </w:tc>
      </w:tr>
      <w:tr w:rsidR="000C3C7A" w:rsidRPr="00ED097B" w14:paraId="4575E1CE"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712" w:type="pct"/>
            <w:vMerge/>
          </w:tcPr>
          <w:p w14:paraId="624B89AB" w14:textId="77777777" w:rsidR="000C3C7A" w:rsidRPr="00AB655A" w:rsidRDefault="000C3C7A" w:rsidP="00F0593F">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22" w:type="pct"/>
          </w:tcPr>
          <w:p w14:paraId="06ED3FF0" w14:textId="3B9461B6" w:rsidR="0013514E" w:rsidRPr="00AB655A" w:rsidRDefault="000C3C7A" w:rsidP="0013514E">
            <w:pPr>
              <w:rPr>
                <w:rFonts w:asciiTheme="majorHAnsi" w:eastAsia="MS Mincho" w:hAnsiTheme="majorHAnsi" w:cstheme="majorHAnsi"/>
                <w:bCs/>
                <w:lang w:val="en-US"/>
              </w:rPr>
            </w:pPr>
            <w:r w:rsidRPr="00AB655A">
              <w:rPr>
                <w:rFonts w:asciiTheme="majorHAnsi" w:eastAsia="MS Mincho" w:hAnsiTheme="majorHAnsi" w:cstheme="majorHAnsi"/>
                <w:bCs/>
                <w:lang w:val="en-US"/>
              </w:rPr>
              <w:t xml:space="preserve">4.1.2 </w:t>
            </w:r>
            <w:r w:rsidR="0013514E" w:rsidRPr="00AB655A">
              <w:rPr>
                <w:rFonts w:asciiTheme="majorHAnsi" w:eastAsia="MS Mincho" w:hAnsiTheme="majorHAnsi" w:cstheme="majorHAnsi"/>
                <w:bCs/>
                <w:lang w:val="en-US"/>
              </w:rPr>
              <w:t>Ensure that the Program for Contin</w:t>
            </w:r>
            <w:r w:rsidR="00DA7F5C" w:rsidRPr="00AB655A">
              <w:rPr>
                <w:rFonts w:asciiTheme="majorHAnsi" w:eastAsia="MS Mincho" w:hAnsiTheme="majorHAnsi" w:cstheme="majorHAnsi"/>
                <w:bCs/>
                <w:lang w:val="en-US"/>
              </w:rPr>
              <w:t>u</w:t>
            </w:r>
            <w:r w:rsidR="0013514E" w:rsidRPr="00AB655A">
              <w:rPr>
                <w:rFonts w:asciiTheme="majorHAnsi" w:eastAsia="MS Mincho" w:hAnsiTheme="majorHAnsi" w:cstheme="majorHAnsi"/>
                <w:bCs/>
                <w:lang w:val="en-US"/>
              </w:rPr>
              <w:t>ous Training and Awareness-raising includes modules with different objectives targeting the different sectors (Management, professional, technical, services), and a required gender curriculum.</w:t>
            </w:r>
          </w:p>
        </w:tc>
        <w:tc>
          <w:tcPr>
            <w:tcW w:w="714" w:type="pct"/>
            <w:vMerge/>
          </w:tcPr>
          <w:p w14:paraId="69A1B90A" w14:textId="2DA691DE" w:rsidR="000C3C7A" w:rsidRPr="00AB655A" w:rsidRDefault="000C3C7A" w:rsidP="00F0593F">
            <w:pPr>
              <w:spacing w:before="0"/>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p>
        </w:tc>
        <w:tc>
          <w:tcPr>
            <w:cnfStyle w:val="000010000000" w:firstRow="0" w:lastRow="0" w:firstColumn="0" w:lastColumn="0" w:oddVBand="1" w:evenVBand="0" w:oddHBand="0" w:evenHBand="0" w:firstRowFirstColumn="0" w:firstRowLastColumn="0" w:lastRowFirstColumn="0" w:lastRowLastColumn="0"/>
            <w:tcW w:w="663" w:type="pct"/>
            <w:vMerge/>
          </w:tcPr>
          <w:p w14:paraId="7C449F54" w14:textId="475546EC" w:rsidR="000C3C7A" w:rsidRPr="00AB655A" w:rsidRDefault="000C3C7A" w:rsidP="00F0593F">
            <w:pPr>
              <w:spacing w:before="0"/>
              <w:rPr>
                <w:rFonts w:asciiTheme="majorHAnsi" w:eastAsia="MS Mincho" w:hAnsiTheme="majorHAnsi" w:cstheme="majorHAnsi"/>
                <w:bCs/>
                <w:lang w:val="en-US"/>
              </w:rPr>
            </w:pPr>
          </w:p>
        </w:tc>
        <w:tc>
          <w:tcPr>
            <w:tcW w:w="418" w:type="pct"/>
            <w:vMerge/>
          </w:tcPr>
          <w:p w14:paraId="64263F11" w14:textId="5BFA5D1E" w:rsidR="000C3C7A" w:rsidRPr="00AB655A" w:rsidRDefault="000C3C7A" w:rsidP="00F0593F">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p>
        </w:tc>
        <w:tc>
          <w:tcPr>
            <w:cnfStyle w:val="000010000000" w:firstRow="0" w:lastRow="0" w:firstColumn="0" w:lastColumn="0" w:oddVBand="1" w:evenVBand="0" w:oddHBand="0" w:evenHBand="0" w:firstRowFirstColumn="0" w:firstRowLastColumn="0" w:lastRowFirstColumn="0" w:lastRowLastColumn="0"/>
            <w:tcW w:w="806" w:type="pct"/>
            <w:vMerge/>
          </w:tcPr>
          <w:p w14:paraId="2A4E4C63" w14:textId="1C589EBC" w:rsidR="000C3C7A" w:rsidRPr="00AB655A" w:rsidRDefault="000C3C7A" w:rsidP="00F0593F">
            <w:pPr>
              <w:rPr>
                <w:rFonts w:asciiTheme="majorHAnsi" w:eastAsia="MS Mincho" w:hAnsiTheme="majorHAnsi" w:cstheme="majorHAnsi"/>
                <w:bCs/>
                <w:lang w:val="en-US"/>
              </w:rPr>
            </w:pPr>
          </w:p>
        </w:tc>
        <w:tc>
          <w:tcPr>
            <w:tcW w:w="665" w:type="pct"/>
            <w:vMerge/>
          </w:tcPr>
          <w:p w14:paraId="49907218" w14:textId="2E74C064" w:rsidR="000C3C7A" w:rsidRPr="00AB655A" w:rsidRDefault="000C3C7A" w:rsidP="00F0593F">
            <w:pPr>
              <w:spacing w:before="0"/>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p>
        </w:tc>
      </w:tr>
      <w:tr w:rsidR="001541C7" w:rsidRPr="00AB655A" w14:paraId="251D1D3B"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12" w:type="pct"/>
            <w:vMerge/>
          </w:tcPr>
          <w:p w14:paraId="56646291" w14:textId="77777777" w:rsidR="001541C7" w:rsidRPr="00AB655A" w:rsidRDefault="001541C7" w:rsidP="00F0593F">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22" w:type="pct"/>
          </w:tcPr>
          <w:p w14:paraId="6426407F" w14:textId="68223A08" w:rsidR="001541C7" w:rsidRPr="00AB655A" w:rsidRDefault="0EF13EE1" w:rsidP="2425A842">
            <w:pPr>
              <w:rPr>
                <w:rFonts w:asciiTheme="majorHAnsi" w:eastAsia="MS Mincho" w:hAnsiTheme="majorHAnsi" w:cstheme="majorBidi"/>
                <w:lang w:val="en-US"/>
              </w:rPr>
            </w:pPr>
            <w:r w:rsidRPr="2425A842">
              <w:rPr>
                <w:rFonts w:asciiTheme="majorHAnsi" w:eastAsia="MS Mincho" w:hAnsiTheme="majorHAnsi" w:cstheme="majorBidi"/>
                <w:lang w:val="en-US"/>
              </w:rPr>
              <w:t xml:space="preserve">4.1.3 </w:t>
            </w:r>
            <w:r w:rsidR="2BFB6A67" w:rsidRPr="2425A842">
              <w:rPr>
                <w:rFonts w:asciiTheme="majorHAnsi" w:eastAsia="MS Mincho" w:hAnsiTheme="majorHAnsi" w:cstheme="majorBidi"/>
                <w:lang w:val="en-US"/>
              </w:rPr>
              <w:t xml:space="preserve">Incorporate the fact that staff must pass the modules </w:t>
            </w:r>
            <w:r w:rsidR="2425A842" w:rsidRPr="2425A842">
              <w:rPr>
                <w:rFonts w:asciiTheme="majorHAnsi" w:eastAsia="MS Mincho" w:hAnsiTheme="majorHAnsi" w:cstheme="majorBidi"/>
                <w:lang w:val="en-US"/>
              </w:rPr>
              <w:t xml:space="preserve">—according to their curriculum— </w:t>
            </w:r>
            <w:r w:rsidR="2BFB6A67" w:rsidRPr="2425A842">
              <w:rPr>
                <w:rFonts w:asciiTheme="majorHAnsi" w:eastAsia="MS Mincho" w:hAnsiTheme="majorHAnsi" w:cstheme="majorBidi"/>
                <w:lang w:val="en-US"/>
              </w:rPr>
              <w:t>of the Program for Contin</w:t>
            </w:r>
            <w:r w:rsidR="06882215" w:rsidRPr="2425A842">
              <w:rPr>
                <w:rFonts w:asciiTheme="majorHAnsi" w:eastAsia="MS Mincho" w:hAnsiTheme="majorHAnsi" w:cstheme="majorBidi"/>
                <w:lang w:val="en-US"/>
              </w:rPr>
              <w:t>u</w:t>
            </w:r>
            <w:r w:rsidR="2BFB6A67" w:rsidRPr="2425A842">
              <w:rPr>
                <w:rFonts w:asciiTheme="majorHAnsi" w:eastAsia="MS Mincho" w:hAnsiTheme="majorHAnsi" w:cstheme="majorBidi"/>
                <w:lang w:val="en-US"/>
              </w:rPr>
              <w:t xml:space="preserve">ous Training on Gender into the objectives of </w:t>
            </w:r>
            <w:r w:rsidR="03CD92CD" w:rsidRPr="2425A842">
              <w:rPr>
                <w:rFonts w:asciiTheme="majorHAnsi" w:eastAsia="MS Mincho" w:hAnsiTheme="majorHAnsi" w:cstheme="majorBidi"/>
                <w:lang w:val="en-US"/>
              </w:rPr>
              <w:t xml:space="preserve">staff performance evaluations. </w:t>
            </w:r>
          </w:p>
        </w:tc>
        <w:tc>
          <w:tcPr>
            <w:tcW w:w="714" w:type="pct"/>
          </w:tcPr>
          <w:p w14:paraId="3A5CB8F1" w14:textId="62872DFD" w:rsidR="001541C7" w:rsidRPr="00AB655A" w:rsidRDefault="00DD689F"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Training Unit</w:t>
            </w:r>
          </w:p>
          <w:p w14:paraId="2A853097" w14:textId="6C04F3C5" w:rsidR="005F395D" w:rsidRPr="00AB655A" w:rsidRDefault="00DD689F"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Human Resource Unit</w:t>
            </w:r>
          </w:p>
        </w:tc>
        <w:tc>
          <w:tcPr>
            <w:cnfStyle w:val="000010000000" w:firstRow="0" w:lastRow="0" w:firstColumn="0" w:lastColumn="0" w:oddVBand="1" w:evenVBand="0" w:oddHBand="0" w:evenHBand="0" w:firstRowFirstColumn="0" w:firstRowLastColumn="0" w:lastRowFirstColumn="0" w:lastRowLastColumn="0"/>
            <w:tcW w:w="663" w:type="pct"/>
          </w:tcPr>
          <w:p w14:paraId="52A5CC46" w14:textId="2281FEBE" w:rsidR="001541C7" w:rsidRPr="00AB655A" w:rsidRDefault="00DD689F" w:rsidP="00DD689F">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w:t>
            </w:r>
          </w:p>
        </w:tc>
        <w:tc>
          <w:tcPr>
            <w:tcW w:w="418" w:type="pct"/>
          </w:tcPr>
          <w:p w14:paraId="69814D05" w14:textId="1C523276" w:rsidR="001541C7" w:rsidRPr="00AB655A" w:rsidRDefault="00BC0223" w:rsidP="00F0593F">
            <w:pPr>
              <w:spacing w:before="0"/>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r w:rsidRPr="00AB655A">
              <w:rPr>
                <w:rFonts w:asciiTheme="majorHAnsi" w:eastAsia="MS Mincho" w:hAnsiTheme="majorHAnsi" w:cstheme="majorHAnsi"/>
                <w:bCs/>
                <w:lang w:val="en-US"/>
              </w:rPr>
              <w:t>M</w:t>
            </w:r>
            <w:r w:rsidR="00DD689F" w:rsidRPr="00AB655A">
              <w:rPr>
                <w:rFonts w:asciiTheme="majorHAnsi" w:eastAsia="MS Mincho" w:hAnsiTheme="majorHAnsi" w:cstheme="majorHAnsi"/>
                <w:bCs/>
                <w:lang w:val="en-US"/>
              </w:rPr>
              <w:t>edium</w:t>
            </w:r>
          </w:p>
        </w:tc>
        <w:tc>
          <w:tcPr>
            <w:cnfStyle w:val="000010000000" w:firstRow="0" w:lastRow="0" w:firstColumn="0" w:lastColumn="0" w:oddVBand="1" w:evenVBand="0" w:oddHBand="0" w:evenHBand="0" w:firstRowFirstColumn="0" w:firstRowLastColumn="0" w:lastRowFirstColumn="0" w:lastRowLastColumn="0"/>
            <w:tcW w:w="806" w:type="pct"/>
          </w:tcPr>
          <w:p w14:paraId="3760F835" w14:textId="5815CAD3" w:rsidR="001541C7" w:rsidRPr="00AB655A" w:rsidRDefault="00DD689F"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Percentage of staff that obtain positive results in the gender objectives of their performance evaluations.</w:t>
            </w:r>
          </w:p>
        </w:tc>
        <w:tc>
          <w:tcPr>
            <w:tcW w:w="665" w:type="pct"/>
          </w:tcPr>
          <w:p w14:paraId="2048D4EC" w14:textId="5174A364" w:rsidR="001541C7" w:rsidRPr="00AB655A" w:rsidRDefault="00DD689F"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Results from performance evaluations.</w:t>
            </w:r>
          </w:p>
        </w:tc>
      </w:tr>
      <w:tr w:rsidR="001541C7" w:rsidRPr="00ED097B" w14:paraId="3B538DA5"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712" w:type="pct"/>
            <w:vMerge w:val="restart"/>
          </w:tcPr>
          <w:p w14:paraId="68F71C73" w14:textId="6E89591E" w:rsidR="001541C7" w:rsidRPr="00AB655A" w:rsidRDefault="001541C7" w:rsidP="00F0593F">
            <w:pPr>
              <w:rPr>
                <w:rFonts w:asciiTheme="majorHAnsi" w:eastAsia="MS Mincho" w:hAnsiTheme="majorHAnsi" w:cstheme="majorHAnsi"/>
                <w:bCs w:val="0"/>
                <w:color w:val="000000"/>
                <w:lang w:val="en-US" w:eastAsia="es-ES"/>
              </w:rPr>
            </w:pPr>
            <w:r w:rsidRPr="00AB655A">
              <w:rPr>
                <w:rFonts w:asciiTheme="majorHAnsi" w:eastAsia="MS Mincho" w:hAnsiTheme="majorHAnsi" w:cstheme="majorHAnsi"/>
                <w:color w:val="000000"/>
                <w:lang w:val="en-US" w:eastAsia="es-ES"/>
              </w:rPr>
              <w:t xml:space="preserve">4.2. </w:t>
            </w:r>
            <w:r w:rsidR="00B22AF3" w:rsidRPr="00AB655A">
              <w:rPr>
                <w:rFonts w:asciiTheme="majorHAnsi" w:eastAsia="MS Mincho" w:hAnsiTheme="majorHAnsi" w:cstheme="majorHAnsi"/>
                <w:color w:val="000000"/>
                <w:lang w:val="en-US" w:eastAsia="es-ES"/>
              </w:rPr>
              <w:t xml:space="preserve">Strengthen the technical skills and abilities of the official </w:t>
            </w:r>
            <w:r w:rsidR="00B22AF3" w:rsidRPr="00AB655A">
              <w:rPr>
                <w:rFonts w:asciiTheme="majorHAnsi" w:eastAsia="MS Mincho" w:hAnsiTheme="majorHAnsi" w:cstheme="majorHAnsi"/>
                <w:color w:val="000000"/>
                <w:lang w:val="en-US" w:eastAsia="es-ES"/>
              </w:rPr>
              <w:lastRenderedPageBreak/>
              <w:t>to incorporate a gender approach in their work</w:t>
            </w:r>
          </w:p>
        </w:tc>
        <w:tc>
          <w:tcPr>
            <w:cnfStyle w:val="000010000000" w:firstRow="0" w:lastRow="0" w:firstColumn="0" w:lastColumn="0" w:oddVBand="1" w:evenVBand="0" w:oddHBand="0" w:evenHBand="0" w:firstRowFirstColumn="0" w:firstRowLastColumn="0" w:lastRowFirstColumn="0" w:lastRowLastColumn="0"/>
            <w:tcW w:w="1022" w:type="pct"/>
          </w:tcPr>
          <w:p w14:paraId="2CB85B5A" w14:textId="160E8598" w:rsidR="001541C7" w:rsidRPr="00AB655A" w:rsidRDefault="001541C7" w:rsidP="00DD689F">
            <w:pPr>
              <w:rPr>
                <w:rFonts w:asciiTheme="majorHAnsi" w:eastAsia="MS Mincho" w:hAnsiTheme="majorHAnsi" w:cstheme="majorHAnsi"/>
                <w:lang w:val="en-US"/>
              </w:rPr>
            </w:pPr>
            <w:r w:rsidRPr="00AB655A">
              <w:rPr>
                <w:rFonts w:asciiTheme="majorHAnsi" w:eastAsia="MS Mincho" w:hAnsiTheme="majorHAnsi" w:cstheme="majorHAnsi"/>
                <w:lang w:val="en-US"/>
              </w:rPr>
              <w:lastRenderedPageBreak/>
              <w:t xml:space="preserve">4.2.1 </w:t>
            </w:r>
            <w:r w:rsidR="00DD689F" w:rsidRPr="00AB655A">
              <w:rPr>
                <w:rFonts w:asciiTheme="majorHAnsi" w:eastAsia="MS Mincho" w:hAnsiTheme="majorHAnsi" w:cstheme="majorHAnsi"/>
                <w:lang w:val="en-US"/>
              </w:rPr>
              <w:t xml:space="preserve">Identify each area’s specific objectives and technical </w:t>
            </w:r>
            <w:r w:rsidR="00DD689F" w:rsidRPr="00AB655A">
              <w:rPr>
                <w:rFonts w:asciiTheme="majorHAnsi" w:eastAsia="MS Mincho" w:hAnsiTheme="majorHAnsi" w:cstheme="majorHAnsi"/>
                <w:lang w:val="en-US"/>
              </w:rPr>
              <w:lastRenderedPageBreak/>
              <w:t>needs to incorporate a gender approach.</w:t>
            </w:r>
          </w:p>
        </w:tc>
        <w:tc>
          <w:tcPr>
            <w:tcW w:w="714" w:type="pct"/>
          </w:tcPr>
          <w:p w14:paraId="1D36ECA6" w14:textId="5A255D31" w:rsidR="001541C7" w:rsidRPr="00AB655A" w:rsidRDefault="00DD68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lastRenderedPageBreak/>
              <w:t>Training Unit</w:t>
            </w:r>
          </w:p>
          <w:p w14:paraId="59E6B4EF" w14:textId="09461526" w:rsidR="00BC0223" w:rsidRPr="00AB655A" w:rsidRDefault="00DD68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63" w:type="pct"/>
          </w:tcPr>
          <w:p w14:paraId="1D46E3B7" w14:textId="6A838AFB" w:rsidR="001541C7" w:rsidRPr="00AB655A" w:rsidRDefault="00DD689F"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w:t>
            </w:r>
          </w:p>
        </w:tc>
        <w:tc>
          <w:tcPr>
            <w:tcW w:w="418" w:type="pct"/>
          </w:tcPr>
          <w:p w14:paraId="1D393FB2" w14:textId="643D516E" w:rsidR="001541C7" w:rsidRPr="00AB655A" w:rsidRDefault="00DD689F" w:rsidP="00F0593F">
            <w:pPr>
              <w:spacing w:before="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val="en-US"/>
              </w:rPr>
            </w:pPr>
            <w:r w:rsidRPr="00AB655A">
              <w:rPr>
                <w:rFonts w:asciiTheme="majorHAnsi" w:eastAsia="Calibri" w:hAnsiTheme="majorHAnsi" w:cstheme="majorHAnsi"/>
                <w:lang w:val="en-US"/>
              </w:rPr>
              <w:t>Short</w:t>
            </w:r>
          </w:p>
        </w:tc>
        <w:tc>
          <w:tcPr>
            <w:cnfStyle w:val="000010000000" w:firstRow="0" w:lastRow="0" w:firstColumn="0" w:lastColumn="0" w:oddVBand="1" w:evenVBand="0" w:oddHBand="0" w:evenHBand="0" w:firstRowFirstColumn="0" w:firstRowLastColumn="0" w:lastRowFirstColumn="0" w:lastRowLastColumn="0"/>
            <w:tcW w:w="806" w:type="pct"/>
          </w:tcPr>
          <w:p w14:paraId="384D4A55" w14:textId="1FD7F08A" w:rsidR="00DD689F" w:rsidRPr="00AB655A" w:rsidRDefault="00DD689F" w:rsidP="00DA7F5C">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Identified training needs based on the </w:t>
            </w:r>
            <w:r w:rsidRPr="00AB655A">
              <w:rPr>
                <w:rFonts w:asciiTheme="majorHAnsi" w:eastAsia="MS Mincho" w:hAnsiTheme="majorHAnsi" w:cstheme="majorHAnsi"/>
                <w:lang w:val="en-US"/>
              </w:rPr>
              <w:lastRenderedPageBreak/>
              <w:t>specific needs of the areas.</w:t>
            </w:r>
          </w:p>
        </w:tc>
        <w:tc>
          <w:tcPr>
            <w:tcW w:w="665" w:type="pct"/>
          </w:tcPr>
          <w:p w14:paraId="7B9B3DCC" w14:textId="77777777" w:rsidR="001541C7" w:rsidRDefault="00DD68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lastRenderedPageBreak/>
              <w:t>Training report.</w:t>
            </w:r>
          </w:p>
          <w:p w14:paraId="08298157" w14:textId="6C8719A2" w:rsidR="00EB4844" w:rsidRPr="00AB655A" w:rsidRDefault="00EB4844"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 xml:space="preserve">Selection criteria for the </w:t>
            </w:r>
            <w:r>
              <w:rPr>
                <w:rFonts w:asciiTheme="majorHAnsi" w:eastAsia="MS Mincho" w:hAnsiTheme="majorHAnsi" w:cstheme="majorHAnsi"/>
                <w:lang w:val="en-US"/>
              </w:rPr>
              <w:lastRenderedPageBreak/>
              <w:t>institution’s programs.</w:t>
            </w:r>
          </w:p>
        </w:tc>
      </w:tr>
      <w:tr w:rsidR="001541C7" w:rsidRPr="00AB655A" w14:paraId="1C658A9E"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12" w:type="pct"/>
            <w:vMerge/>
          </w:tcPr>
          <w:p w14:paraId="0F6DBEC6" w14:textId="50252A40" w:rsidR="001541C7" w:rsidRPr="00AB655A" w:rsidRDefault="001541C7" w:rsidP="002A7E3C">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22" w:type="pct"/>
          </w:tcPr>
          <w:p w14:paraId="195A71A4" w14:textId="7AB76A0D" w:rsidR="001541C7" w:rsidRPr="00AB655A" w:rsidRDefault="001541C7" w:rsidP="002A7E3C">
            <w:pPr>
              <w:rPr>
                <w:rFonts w:cstheme="minorHAnsi"/>
                <w:lang w:val="en-US"/>
              </w:rPr>
            </w:pPr>
            <w:r w:rsidRPr="00AB655A">
              <w:rPr>
                <w:rFonts w:cstheme="minorHAnsi"/>
                <w:lang w:val="en-US"/>
              </w:rPr>
              <w:t xml:space="preserve">4.2.2 </w:t>
            </w:r>
            <w:r w:rsidR="00DD689F" w:rsidRPr="00AB655A">
              <w:rPr>
                <w:rFonts w:cstheme="minorHAnsi"/>
                <w:lang w:val="en-US"/>
              </w:rPr>
              <w:t>Establish criteria to select the programs of the institution that will receive training in stages in the framework of the Training Program.</w:t>
            </w:r>
          </w:p>
          <w:p w14:paraId="003C5E84" w14:textId="2A228DF4" w:rsidR="00DD689F" w:rsidRPr="00AB655A" w:rsidRDefault="00DD689F" w:rsidP="002A7E3C">
            <w:pPr>
              <w:rPr>
                <w:rFonts w:asciiTheme="majorHAnsi" w:eastAsia="MS Mincho" w:hAnsiTheme="majorHAnsi" w:cstheme="majorHAnsi"/>
                <w:bCs/>
                <w:lang w:val="en-US"/>
              </w:rPr>
            </w:pPr>
          </w:p>
        </w:tc>
        <w:tc>
          <w:tcPr>
            <w:tcW w:w="714" w:type="pct"/>
          </w:tcPr>
          <w:p w14:paraId="5F3E062F" w14:textId="6F50BFF0" w:rsidR="001541C7" w:rsidRPr="00AB655A" w:rsidRDefault="00DD689F"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Training Unit</w:t>
            </w:r>
          </w:p>
          <w:p w14:paraId="2B67E598" w14:textId="32B48BA5" w:rsidR="00F91E34" w:rsidRPr="00AB655A" w:rsidRDefault="00DD689F"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63" w:type="pct"/>
          </w:tcPr>
          <w:p w14:paraId="5FCA71D3" w14:textId="0345189A" w:rsidR="001541C7" w:rsidRPr="00AB655A" w:rsidRDefault="00DD689F"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Human resources</w:t>
            </w:r>
          </w:p>
        </w:tc>
        <w:tc>
          <w:tcPr>
            <w:tcW w:w="418" w:type="pct"/>
          </w:tcPr>
          <w:p w14:paraId="747D95E6" w14:textId="47B54E8F" w:rsidR="001541C7" w:rsidRPr="00AB655A" w:rsidRDefault="00DD689F" w:rsidP="002A7E3C">
            <w:pPr>
              <w:spacing w:befor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val="en-US"/>
              </w:rPr>
            </w:pPr>
            <w:r w:rsidRPr="00AB655A">
              <w:rPr>
                <w:rFonts w:asciiTheme="majorHAnsi" w:eastAsia="Calibri" w:hAnsiTheme="majorHAnsi" w:cstheme="majorHAnsi"/>
                <w:lang w:val="en-US"/>
              </w:rPr>
              <w:t>Short</w:t>
            </w:r>
          </w:p>
        </w:tc>
        <w:tc>
          <w:tcPr>
            <w:cnfStyle w:val="000010000000" w:firstRow="0" w:lastRow="0" w:firstColumn="0" w:lastColumn="0" w:oddVBand="1" w:evenVBand="0" w:oddHBand="0" w:evenHBand="0" w:firstRowFirstColumn="0" w:firstRowLastColumn="0" w:lastRowFirstColumn="0" w:lastRowLastColumn="0"/>
            <w:tcW w:w="806" w:type="pct"/>
          </w:tcPr>
          <w:p w14:paraId="6E10C356" w14:textId="19FE4DCD" w:rsidR="001541C7" w:rsidRPr="00AB655A" w:rsidRDefault="00DD689F" w:rsidP="00DD689F">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Programs (areas) that will receive training have been selected.</w:t>
            </w:r>
          </w:p>
        </w:tc>
        <w:tc>
          <w:tcPr>
            <w:tcW w:w="665" w:type="pct"/>
          </w:tcPr>
          <w:p w14:paraId="10049F72" w14:textId="3CF7035F" w:rsidR="001541C7" w:rsidRPr="00AB655A" w:rsidRDefault="00DD689F"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Training report.</w:t>
            </w:r>
          </w:p>
        </w:tc>
      </w:tr>
      <w:tr w:rsidR="001541C7" w:rsidRPr="00AB655A" w14:paraId="32C69138"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712" w:type="pct"/>
            <w:vMerge/>
          </w:tcPr>
          <w:p w14:paraId="7E839DB2" w14:textId="66C81886" w:rsidR="001541C7" w:rsidRPr="00AB655A" w:rsidRDefault="001541C7" w:rsidP="002A7E3C">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22" w:type="pct"/>
          </w:tcPr>
          <w:p w14:paraId="1A45AEC0" w14:textId="15EF41FB" w:rsidR="001541C7" w:rsidRPr="00AB655A" w:rsidRDefault="001541C7" w:rsidP="00DA7F5C">
            <w:pPr>
              <w:rPr>
                <w:rFonts w:asciiTheme="majorHAnsi" w:eastAsia="MS Mincho" w:hAnsiTheme="majorHAnsi" w:cstheme="majorHAnsi"/>
                <w:lang w:val="en-US"/>
              </w:rPr>
            </w:pPr>
            <w:r w:rsidRPr="00AB655A">
              <w:rPr>
                <w:rFonts w:cstheme="minorHAnsi"/>
                <w:lang w:val="en-US"/>
              </w:rPr>
              <w:t xml:space="preserve">4.2.3 </w:t>
            </w:r>
            <w:r w:rsidR="00DA7F5C" w:rsidRPr="00AB655A">
              <w:rPr>
                <w:rFonts w:cstheme="minorHAnsi"/>
                <w:lang w:val="en-US"/>
              </w:rPr>
              <w:t>Implement</w:t>
            </w:r>
            <w:r w:rsidR="00DD689F" w:rsidRPr="00AB655A">
              <w:rPr>
                <w:rFonts w:cstheme="minorHAnsi"/>
                <w:lang w:val="en-US"/>
              </w:rPr>
              <w:t xml:space="preserve"> the class to strengthen the sectoral and technical</w:t>
            </w:r>
            <w:r w:rsidR="00EB4844">
              <w:rPr>
                <w:rFonts w:cstheme="minorHAnsi"/>
                <w:lang w:val="en-US"/>
              </w:rPr>
              <w:t xml:space="preserve"> gender</w:t>
            </w:r>
            <w:r w:rsidR="00DD689F" w:rsidRPr="00AB655A">
              <w:rPr>
                <w:rFonts w:cstheme="minorHAnsi"/>
                <w:lang w:val="en-US"/>
              </w:rPr>
              <w:t xml:space="preserve"> skills of the officials from the priority programs that were identified.</w:t>
            </w:r>
          </w:p>
        </w:tc>
        <w:tc>
          <w:tcPr>
            <w:tcW w:w="714" w:type="pct"/>
          </w:tcPr>
          <w:p w14:paraId="0820260A" w14:textId="20916B8A" w:rsidR="001541C7" w:rsidRPr="00AB655A" w:rsidRDefault="00DD68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Training Unit</w:t>
            </w:r>
          </w:p>
          <w:p w14:paraId="78310406" w14:textId="77777777" w:rsidR="00DD689F" w:rsidRPr="00AB655A" w:rsidRDefault="00DD68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Specialized Gender Unit </w:t>
            </w:r>
          </w:p>
          <w:p w14:paraId="7436BA9E" w14:textId="07339859" w:rsidR="00F91E34" w:rsidRPr="00AB655A" w:rsidRDefault="00DD68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State or private training entities</w:t>
            </w:r>
          </w:p>
          <w:p w14:paraId="0855F292" w14:textId="2AE1BD96" w:rsidR="00F91E34" w:rsidRPr="00AB655A" w:rsidRDefault="00DD689F" w:rsidP="00DD689F">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Cooperating entities</w:t>
            </w:r>
          </w:p>
        </w:tc>
        <w:tc>
          <w:tcPr>
            <w:cnfStyle w:val="000010000000" w:firstRow="0" w:lastRow="0" w:firstColumn="0" w:lastColumn="0" w:oddVBand="1" w:evenVBand="0" w:oddHBand="0" w:evenHBand="0" w:firstRowFirstColumn="0" w:firstRowLastColumn="0" w:lastRowFirstColumn="0" w:lastRowLastColumn="0"/>
            <w:tcW w:w="663" w:type="pct"/>
          </w:tcPr>
          <w:p w14:paraId="24A80DD3" w14:textId="0088FA49" w:rsidR="005F395D" w:rsidRPr="00AB655A" w:rsidRDefault="00DD689F"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Financial resources</w:t>
            </w:r>
          </w:p>
          <w:p w14:paraId="644775D2" w14:textId="35AB5D39" w:rsidR="001541C7" w:rsidRPr="00AB655A" w:rsidRDefault="00DD689F" w:rsidP="00DD689F">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State or private training entities</w:t>
            </w:r>
          </w:p>
        </w:tc>
        <w:tc>
          <w:tcPr>
            <w:tcW w:w="418" w:type="pct"/>
          </w:tcPr>
          <w:p w14:paraId="247FEEA1" w14:textId="24FA9351" w:rsidR="001541C7" w:rsidRPr="00AB655A" w:rsidRDefault="00F91E34" w:rsidP="00F91E34">
            <w:pPr>
              <w:ind w:left="317" w:hanging="31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M</w:t>
            </w:r>
            <w:r w:rsidR="00DD689F" w:rsidRPr="00AB655A">
              <w:rPr>
                <w:rFonts w:asciiTheme="majorHAnsi" w:eastAsia="MS Mincho" w:hAnsiTheme="majorHAnsi" w:cstheme="majorHAnsi"/>
                <w:lang w:val="en-US"/>
              </w:rPr>
              <w:t>edium</w:t>
            </w:r>
          </w:p>
        </w:tc>
        <w:tc>
          <w:tcPr>
            <w:cnfStyle w:val="000010000000" w:firstRow="0" w:lastRow="0" w:firstColumn="0" w:lastColumn="0" w:oddVBand="1" w:evenVBand="0" w:oddHBand="0" w:evenHBand="0" w:firstRowFirstColumn="0" w:firstRowLastColumn="0" w:lastRowFirstColumn="0" w:lastRowLastColumn="0"/>
            <w:tcW w:w="806" w:type="pct"/>
          </w:tcPr>
          <w:p w14:paraId="1EA17CA9" w14:textId="46C374DC" w:rsidR="001541C7" w:rsidRPr="00AB655A" w:rsidRDefault="00DD689F" w:rsidP="00DD689F">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Based on the established timeframe, at least 50% of priority areas or programs have received training (Human Resources, Planning, Policy Development, etc.)</w:t>
            </w:r>
          </w:p>
        </w:tc>
        <w:tc>
          <w:tcPr>
            <w:tcW w:w="665" w:type="pct"/>
          </w:tcPr>
          <w:p w14:paraId="40D0E999" w14:textId="007A5CE0" w:rsidR="001541C7" w:rsidRPr="00AB655A" w:rsidRDefault="00DD68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Training report</w:t>
            </w:r>
          </w:p>
          <w:p w14:paraId="67D6B40F" w14:textId="4CDDEE69" w:rsidR="00F91E34" w:rsidRPr="00AB655A" w:rsidRDefault="00DD68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Participant lists</w:t>
            </w:r>
          </w:p>
        </w:tc>
      </w:tr>
      <w:tr w:rsidR="00EB4844" w:rsidRPr="00ED097B" w14:paraId="5EB0BB1A"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12" w:type="pct"/>
          </w:tcPr>
          <w:p w14:paraId="0EE4C483" w14:textId="77777777" w:rsidR="00EB4844" w:rsidRPr="00AB655A" w:rsidRDefault="00EB4844" w:rsidP="002A7E3C">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22" w:type="pct"/>
          </w:tcPr>
          <w:p w14:paraId="795387DD" w14:textId="04193899" w:rsidR="00EB4844" w:rsidRPr="00AB655A" w:rsidRDefault="4EA3EFF1" w:rsidP="2425A842">
            <w:pPr>
              <w:rPr>
                <w:lang w:val="en-US"/>
              </w:rPr>
            </w:pPr>
            <w:r w:rsidRPr="2425A842">
              <w:rPr>
                <w:lang w:val="en-US"/>
              </w:rPr>
              <w:t>4.2.4 Establish an annual training program for members of the Gender Units, human resource staff, and members of the committee or commission. The topics include gender, human rights, gender approach, sexual diversity, and masculinities.</w:t>
            </w:r>
          </w:p>
        </w:tc>
        <w:tc>
          <w:tcPr>
            <w:tcW w:w="714" w:type="pct"/>
          </w:tcPr>
          <w:p w14:paraId="3F0635B0" w14:textId="77777777" w:rsidR="00EB4844" w:rsidRDefault="00EB4844"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Training Unit</w:t>
            </w:r>
          </w:p>
          <w:p w14:paraId="3316F51F" w14:textId="77777777" w:rsidR="00EB4844" w:rsidRDefault="00EB4844"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Specialized Gender Unit</w:t>
            </w:r>
          </w:p>
          <w:p w14:paraId="481C980A" w14:textId="77777777" w:rsidR="00EB4844" w:rsidRDefault="00EB4844"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State or private training entities</w:t>
            </w:r>
          </w:p>
          <w:p w14:paraId="121B2E65" w14:textId="77777777" w:rsidR="00EB4844" w:rsidRDefault="00EB4844"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Cooperating entities</w:t>
            </w:r>
          </w:p>
          <w:p w14:paraId="149024EB" w14:textId="34804F3A" w:rsidR="00EB4844" w:rsidRPr="00AB655A" w:rsidRDefault="00D4043E"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 xml:space="preserve">Areas targeted by the Gender Unit, Human Resources, </w:t>
            </w:r>
            <w:r>
              <w:rPr>
                <w:rFonts w:asciiTheme="majorHAnsi" w:eastAsia="MS Mincho" w:hAnsiTheme="majorHAnsi" w:cstheme="majorHAnsi"/>
                <w:lang w:val="en-US"/>
              </w:rPr>
              <w:lastRenderedPageBreak/>
              <w:t xml:space="preserve">and gender committees or commissions </w:t>
            </w:r>
          </w:p>
        </w:tc>
        <w:tc>
          <w:tcPr>
            <w:cnfStyle w:val="000010000000" w:firstRow="0" w:lastRow="0" w:firstColumn="0" w:lastColumn="0" w:oddVBand="1" w:evenVBand="0" w:oddHBand="0" w:evenHBand="0" w:firstRowFirstColumn="0" w:firstRowLastColumn="0" w:lastRowFirstColumn="0" w:lastRowLastColumn="0"/>
            <w:tcW w:w="663" w:type="pct"/>
          </w:tcPr>
          <w:p w14:paraId="01D912D6" w14:textId="77777777" w:rsidR="00EB4844" w:rsidRDefault="00D4043E" w:rsidP="00B41E54">
            <w:pPr>
              <w:pStyle w:val="ListParagraph"/>
              <w:numPr>
                <w:ilvl w:val="0"/>
                <w:numId w:val="14"/>
              </w:numPr>
              <w:ind w:left="167" w:hanging="167"/>
              <w:rPr>
                <w:rFonts w:asciiTheme="majorHAnsi" w:eastAsia="MS Mincho" w:hAnsiTheme="majorHAnsi" w:cstheme="majorHAnsi"/>
                <w:lang w:val="en-US"/>
              </w:rPr>
            </w:pPr>
            <w:r>
              <w:rPr>
                <w:rFonts w:asciiTheme="majorHAnsi" w:eastAsia="MS Mincho" w:hAnsiTheme="majorHAnsi" w:cstheme="majorHAnsi"/>
                <w:lang w:val="en-US"/>
              </w:rPr>
              <w:lastRenderedPageBreak/>
              <w:t>Financial resources</w:t>
            </w:r>
          </w:p>
          <w:p w14:paraId="78E51A1E" w14:textId="791A8865" w:rsidR="00D4043E" w:rsidRPr="00AB655A" w:rsidRDefault="00D4043E" w:rsidP="00B41E54">
            <w:pPr>
              <w:pStyle w:val="ListParagraph"/>
              <w:numPr>
                <w:ilvl w:val="0"/>
                <w:numId w:val="14"/>
              </w:numPr>
              <w:ind w:left="167" w:hanging="167"/>
              <w:rPr>
                <w:rFonts w:asciiTheme="majorHAnsi" w:eastAsia="MS Mincho" w:hAnsiTheme="majorHAnsi" w:cstheme="majorHAnsi"/>
                <w:lang w:val="en-US"/>
              </w:rPr>
            </w:pPr>
            <w:r>
              <w:rPr>
                <w:rFonts w:asciiTheme="majorHAnsi" w:eastAsia="MS Mincho" w:hAnsiTheme="majorHAnsi" w:cstheme="majorHAnsi"/>
                <w:lang w:val="en-US"/>
              </w:rPr>
              <w:t>State or private training entities</w:t>
            </w:r>
          </w:p>
        </w:tc>
        <w:tc>
          <w:tcPr>
            <w:tcW w:w="418" w:type="pct"/>
          </w:tcPr>
          <w:p w14:paraId="0827ED6F" w14:textId="4756D201" w:rsidR="00EB4844" w:rsidRPr="00AB655A" w:rsidRDefault="00D4043E" w:rsidP="00F91E34">
            <w:pPr>
              <w:ind w:left="317" w:hanging="31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Medium</w:t>
            </w:r>
          </w:p>
        </w:tc>
        <w:tc>
          <w:tcPr>
            <w:cnfStyle w:val="000010000000" w:firstRow="0" w:lastRow="0" w:firstColumn="0" w:lastColumn="0" w:oddVBand="1" w:evenVBand="0" w:oddHBand="0" w:evenHBand="0" w:firstRowFirstColumn="0" w:firstRowLastColumn="0" w:lastRowFirstColumn="0" w:lastRowLastColumn="0"/>
            <w:tcW w:w="806" w:type="pct"/>
          </w:tcPr>
          <w:p w14:paraId="396886F6" w14:textId="77777777" w:rsidR="00EB4844" w:rsidRDefault="008F784B" w:rsidP="00DD689F">
            <w:pPr>
              <w:pStyle w:val="ListParagraph"/>
              <w:numPr>
                <w:ilvl w:val="0"/>
                <w:numId w:val="14"/>
              </w:numPr>
              <w:ind w:left="167" w:hanging="167"/>
              <w:rPr>
                <w:rFonts w:asciiTheme="majorHAnsi" w:eastAsia="MS Mincho" w:hAnsiTheme="majorHAnsi" w:cstheme="majorHAnsi"/>
                <w:lang w:val="en-US"/>
              </w:rPr>
            </w:pPr>
            <w:r>
              <w:rPr>
                <w:rFonts w:asciiTheme="majorHAnsi" w:eastAsia="MS Mincho" w:hAnsiTheme="majorHAnsi" w:cstheme="majorHAnsi"/>
                <w:lang w:val="en-US"/>
              </w:rPr>
              <w:t>The format of the training class has been established (in-person, virtual, self-administered).</w:t>
            </w:r>
          </w:p>
          <w:p w14:paraId="3E1E77E2" w14:textId="683288B3" w:rsidR="008F784B" w:rsidRDefault="6F517D58" w:rsidP="2425A842">
            <w:pPr>
              <w:pStyle w:val="ListParagraph"/>
              <w:numPr>
                <w:ilvl w:val="0"/>
                <w:numId w:val="14"/>
              </w:numPr>
              <w:ind w:left="167" w:hanging="167"/>
              <w:rPr>
                <w:rFonts w:asciiTheme="majorHAnsi" w:eastAsia="MS Mincho" w:hAnsiTheme="majorHAnsi" w:cstheme="majorBidi"/>
                <w:lang w:val="en-US"/>
              </w:rPr>
            </w:pPr>
            <w:r w:rsidRPr="2425A842">
              <w:rPr>
                <w:rFonts w:asciiTheme="majorHAnsi" w:eastAsia="MS Mincho" w:hAnsiTheme="majorHAnsi" w:cstheme="majorBidi"/>
                <w:lang w:val="en-US"/>
              </w:rPr>
              <w:t>The content of the classes ha</w:t>
            </w:r>
            <w:r w:rsidRPr="2425A842">
              <w:rPr>
                <w:rFonts w:asciiTheme="majorHAnsi" w:eastAsia="MS Mincho" w:hAnsiTheme="majorHAnsi" w:cstheme="majorBidi"/>
                <w:lang w:val="en-US"/>
              </w:rPr>
              <w:t>s</w:t>
            </w:r>
            <w:r w:rsidRPr="2425A842">
              <w:rPr>
                <w:rFonts w:asciiTheme="majorHAnsi" w:eastAsia="MS Mincho" w:hAnsiTheme="majorHAnsi" w:cstheme="majorBidi"/>
                <w:lang w:val="en-US"/>
              </w:rPr>
              <w:t xml:space="preserve"> been established, based on the agreed</w:t>
            </w:r>
            <w:r w:rsidRPr="2425A842">
              <w:rPr>
                <w:rFonts w:asciiTheme="majorHAnsi" w:eastAsia="MS Mincho" w:hAnsiTheme="majorHAnsi" w:cstheme="majorBidi"/>
                <w:lang w:val="en-US"/>
              </w:rPr>
              <w:t>-</w:t>
            </w:r>
            <w:r w:rsidRPr="2425A842">
              <w:rPr>
                <w:rFonts w:asciiTheme="majorHAnsi" w:eastAsia="MS Mincho" w:hAnsiTheme="majorHAnsi" w:cstheme="majorBidi"/>
                <w:lang w:val="en-US"/>
              </w:rPr>
              <w:t>upon format.</w:t>
            </w:r>
          </w:p>
          <w:p w14:paraId="7ECC6A9A" w14:textId="44FAAA3A" w:rsidR="008F784B" w:rsidRPr="00AB655A" w:rsidRDefault="008F784B">
            <w:pPr>
              <w:pStyle w:val="ListParagraph"/>
              <w:numPr>
                <w:ilvl w:val="0"/>
                <w:numId w:val="14"/>
              </w:numPr>
              <w:ind w:left="167" w:hanging="167"/>
              <w:rPr>
                <w:rFonts w:asciiTheme="majorHAnsi" w:eastAsia="MS Mincho" w:hAnsiTheme="majorHAnsi" w:cstheme="majorHAnsi"/>
                <w:lang w:val="en-US"/>
              </w:rPr>
              <w:pPrChange w:id="11" w:author="Lorena Hillon" w:date="2022-01-05T18:38:00Z">
                <w:pPr>
                  <w:pStyle w:val="ListParagraph"/>
                  <w:numPr>
                    <w:numId w:val="14"/>
                  </w:numPr>
                  <w:ind w:left="360" w:hanging="360"/>
                </w:pPr>
              </w:pPrChange>
            </w:pPr>
            <w:r>
              <w:rPr>
                <w:rFonts w:asciiTheme="majorHAnsi" w:eastAsia="MS Mincho" w:hAnsiTheme="majorHAnsi" w:cstheme="majorHAnsi"/>
                <w:lang w:val="en-US"/>
              </w:rPr>
              <w:lastRenderedPageBreak/>
              <w:t>S</w:t>
            </w:r>
            <w:r w:rsidR="007464EB">
              <w:rPr>
                <w:rFonts w:asciiTheme="majorHAnsi" w:eastAsia="MS Mincho" w:hAnsiTheme="majorHAnsi" w:cstheme="majorHAnsi"/>
                <w:lang w:val="en-US"/>
              </w:rPr>
              <w:t xml:space="preserve">taff </w:t>
            </w:r>
            <w:r>
              <w:rPr>
                <w:rFonts w:asciiTheme="majorHAnsi" w:eastAsia="MS Mincho" w:hAnsiTheme="majorHAnsi" w:cstheme="majorHAnsi"/>
                <w:lang w:val="en-US"/>
              </w:rPr>
              <w:t xml:space="preserve">received training </w:t>
            </w:r>
            <w:r w:rsidR="007464EB">
              <w:rPr>
                <w:rFonts w:asciiTheme="majorHAnsi" w:eastAsia="MS Mincho" w:hAnsiTheme="majorHAnsi" w:cstheme="majorHAnsi"/>
                <w:lang w:val="en-US"/>
              </w:rPr>
              <w:t>according to</w:t>
            </w:r>
            <w:r>
              <w:rPr>
                <w:rFonts w:asciiTheme="majorHAnsi" w:eastAsia="MS Mincho" w:hAnsiTheme="majorHAnsi" w:cstheme="majorHAnsi"/>
                <w:lang w:val="en-US"/>
              </w:rPr>
              <w:t xml:space="preserve"> the timeframe established in the annual training program.</w:t>
            </w:r>
          </w:p>
        </w:tc>
        <w:tc>
          <w:tcPr>
            <w:tcW w:w="665" w:type="pct"/>
          </w:tcPr>
          <w:p w14:paraId="2F0F9361" w14:textId="21D87113" w:rsidR="00EB4844" w:rsidRDefault="008F784B"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lastRenderedPageBreak/>
              <w:t>Training report</w:t>
            </w:r>
          </w:p>
          <w:p w14:paraId="03228764" w14:textId="202AE007" w:rsidR="008F784B" w:rsidRPr="00AB655A" w:rsidRDefault="008F784B"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Participant list disaggregated by sex</w:t>
            </w:r>
          </w:p>
        </w:tc>
      </w:tr>
    </w:tbl>
    <w:p w14:paraId="5AD2F762" w14:textId="0395B89F" w:rsidR="0023632B" w:rsidRPr="00AB655A" w:rsidRDefault="0023632B">
      <w:pPr>
        <w:rPr>
          <w:rFonts w:ascii="Tahoma" w:hAnsi="Tahoma" w:cs="Tahoma"/>
          <w:lang w:val="en-US"/>
        </w:rPr>
      </w:pPr>
    </w:p>
    <w:p w14:paraId="1F45B28E" w14:textId="4FDFAAFB" w:rsidR="002B44D2" w:rsidRPr="00AB655A" w:rsidRDefault="002B44D2">
      <w:pPr>
        <w:rPr>
          <w:rFonts w:ascii="Tahoma" w:hAnsi="Tahoma" w:cs="Tahoma"/>
          <w:lang w:val="en-US"/>
        </w:rPr>
      </w:pPr>
    </w:p>
    <w:p w14:paraId="52AF3E44" w14:textId="27F4A3CD" w:rsidR="002B44D2" w:rsidRPr="00AB655A" w:rsidRDefault="002B44D2">
      <w:pPr>
        <w:rPr>
          <w:rFonts w:ascii="Tahoma" w:hAnsi="Tahoma" w:cs="Tahoma"/>
          <w:lang w:val="en-US"/>
        </w:rPr>
      </w:pPr>
    </w:p>
    <w:p w14:paraId="6F3CB4EE" w14:textId="06F5F6EA" w:rsidR="002B44D2" w:rsidRPr="00AB655A" w:rsidRDefault="002B44D2">
      <w:pPr>
        <w:rPr>
          <w:rFonts w:ascii="Tahoma" w:hAnsi="Tahoma" w:cs="Tahoma"/>
          <w:lang w:val="en-US"/>
        </w:rPr>
      </w:pPr>
    </w:p>
    <w:p w14:paraId="099BD86E" w14:textId="77777777" w:rsidR="002B44D2" w:rsidRPr="00AB655A" w:rsidRDefault="002B44D2">
      <w:pPr>
        <w:rPr>
          <w:rFonts w:ascii="Tahoma" w:hAnsi="Tahoma" w:cs="Tahoma"/>
          <w:lang w:val="en-US"/>
        </w:rPr>
      </w:pPr>
    </w:p>
    <w:tbl>
      <w:tblPr>
        <w:tblStyle w:val="GridTable4-Accent1"/>
        <w:tblW w:w="5000" w:type="pct"/>
        <w:tblLayout w:type="fixed"/>
        <w:tblLook w:val="00A0" w:firstRow="1" w:lastRow="0" w:firstColumn="1" w:lastColumn="0" w:noHBand="0" w:noVBand="0"/>
      </w:tblPr>
      <w:tblGrid>
        <w:gridCol w:w="1978"/>
        <w:gridCol w:w="2838"/>
        <w:gridCol w:w="1984"/>
        <w:gridCol w:w="1842"/>
        <w:gridCol w:w="1162"/>
        <w:gridCol w:w="2239"/>
        <w:gridCol w:w="1951"/>
      </w:tblGrid>
      <w:tr w:rsidR="00F0593F" w:rsidRPr="00ED097B" w14:paraId="569DE6B9" w14:textId="77777777" w:rsidTr="2425A84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000" w:type="pct"/>
            <w:gridSpan w:val="7"/>
          </w:tcPr>
          <w:p w14:paraId="2174B083" w14:textId="6408D86F" w:rsidR="001E480D" w:rsidRPr="00AB655A" w:rsidRDefault="00F0593F" w:rsidP="00811D7C">
            <w:pPr>
              <w:jc w:val="center"/>
              <w:rPr>
                <w:rFonts w:asciiTheme="majorHAnsi" w:eastAsia="MS Mincho" w:hAnsiTheme="majorHAnsi" w:cstheme="majorHAnsi"/>
                <w:b w:val="0"/>
                <w:bCs w:val="0"/>
                <w:sz w:val="28"/>
                <w:szCs w:val="28"/>
                <w:lang w:val="en-US"/>
              </w:rPr>
            </w:pPr>
            <w:r w:rsidRPr="00AB655A">
              <w:rPr>
                <w:rFonts w:asciiTheme="majorHAnsi" w:eastAsia="Calibri" w:hAnsiTheme="majorHAnsi" w:cstheme="majorHAnsi"/>
                <w:lang w:val="en-US"/>
              </w:rPr>
              <w:br w:type="page"/>
            </w:r>
            <w:r w:rsidR="00C50653" w:rsidRPr="00AB655A">
              <w:rPr>
                <w:rFonts w:asciiTheme="majorHAnsi" w:eastAsia="MS Mincho" w:hAnsiTheme="majorHAnsi" w:cstheme="majorHAnsi"/>
                <w:sz w:val="28"/>
                <w:szCs w:val="28"/>
                <w:lang w:val="en-US"/>
              </w:rPr>
              <w:t>Line of action</w:t>
            </w:r>
            <w:r w:rsidR="00B02B3D" w:rsidRPr="00AB655A">
              <w:rPr>
                <w:rFonts w:asciiTheme="majorHAnsi" w:eastAsia="MS Mincho" w:hAnsiTheme="majorHAnsi" w:cstheme="majorHAnsi"/>
                <w:sz w:val="28"/>
                <w:szCs w:val="28"/>
                <w:lang w:val="en-US"/>
              </w:rPr>
              <w:t xml:space="preserve"> </w:t>
            </w:r>
            <w:r w:rsidR="00C50653" w:rsidRPr="00AB655A">
              <w:rPr>
                <w:rFonts w:asciiTheme="majorHAnsi" w:eastAsia="MS Mincho" w:hAnsiTheme="majorHAnsi" w:cstheme="majorHAnsi"/>
                <w:sz w:val="28"/>
                <w:szCs w:val="28"/>
                <w:lang w:val="en-US"/>
              </w:rPr>
              <w:t>5: Communication with a gender approach</w:t>
            </w:r>
          </w:p>
          <w:p w14:paraId="1020D527" w14:textId="3F8D0E91" w:rsidR="002B44D2" w:rsidRPr="00AB655A" w:rsidRDefault="002B44D2" w:rsidP="00C06BC8">
            <w:pPr>
              <w:rPr>
                <w:rFonts w:eastAsia="MS Mincho"/>
                <w:sz w:val="28"/>
                <w:szCs w:val="28"/>
                <w:lang w:val="en-US"/>
              </w:rPr>
            </w:pPr>
          </w:p>
        </w:tc>
      </w:tr>
      <w:tr w:rsidR="00F0593F" w:rsidRPr="00AB655A" w14:paraId="559F0C51" w14:textId="77777777" w:rsidTr="2425A84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707" w:type="pct"/>
            <w:shd w:val="clear" w:color="auto" w:fill="D4EAF3" w:themeFill="accent1" w:themeFillTint="33"/>
          </w:tcPr>
          <w:p w14:paraId="02A931D6" w14:textId="55A79439" w:rsidR="00F0593F" w:rsidRPr="00AB655A" w:rsidRDefault="00795BAE" w:rsidP="002B44D2">
            <w:pPr>
              <w:jc w:val="center"/>
              <w:rPr>
                <w:rFonts w:asciiTheme="majorHAnsi" w:eastAsia="MS Mincho" w:hAnsiTheme="majorHAnsi" w:cstheme="majorHAnsi"/>
                <w:b w:val="0"/>
                <w:color w:val="auto"/>
                <w:lang w:val="en-US" w:eastAsia="es-ES"/>
              </w:rPr>
            </w:pPr>
            <w:r w:rsidRPr="00AB655A">
              <w:rPr>
                <w:rFonts w:asciiTheme="majorHAnsi" w:eastAsia="MS Mincho" w:hAnsiTheme="majorHAnsi" w:cstheme="majorHAnsi"/>
                <w:color w:val="auto"/>
                <w:lang w:val="en-US" w:eastAsia="es-ES"/>
              </w:rPr>
              <w:t>Strategic objective</w:t>
            </w:r>
          </w:p>
        </w:tc>
        <w:tc>
          <w:tcPr>
            <w:cnfStyle w:val="000010000000" w:firstRow="0" w:lastRow="0" w:firstColumn="0" w:lastColumn="0" w:oddVBand="1" w:evenVBand="0" w:oddHBand="0" w:evenHBand="0" w:firstRowFirstColumn="0" w:firstRowLastColumn="0" w:lastRowFirstColumn="0" w:lastRowLastColumn="0"/>
            <w:tcW w:w="1014" w:type="pct"/>
            <w:shd w:val="clear" w:color="auto" w:fill="D4EAF3" w:themeFill="accent1" w:themeFillTint="33"/>
          </w:tcPr>
          <w:p w14:paraId="2FE97E10" w14:textId="02DE5CD0" w:rsidR="00F0593F" w:rsidRPr="00AB655A" w:rsidRDefault="00795BAE" w:rsidP="002B44D2">
            <w:pPr>
              <w:jc w:val="center"/>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Activities</w:t>
            </w:r>
          </w:p>
        </w:tc>
        <w:tc>
          <w:tcPr>
            <w:tcW w:w="709" w:type="pct"/>
            <w:shd w:val="clear" w:color="auto" w:fill="D4EAF3" w:themeFill="accent1" w:themeFillTint="33"/>
          </w:tcPr>
          <w:p w14:paraId="2B9602CF" w14:textId="1C5DFC62" w:rsidR="00F0593F" w:rsidRPr="00AB655A" w:rsidRDefault="00795BAE" w:rsidP="002B44D2">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lang w:val="en-US" w:eastAsia="es-ES"/>
              </w:rPr>
            </w:pPr>
            <w:r w:rsidRPr="00AB655A">
              <w:rPr>
                <w:rFonts w:asciiTheme="majorHAnsi" w:eastAsia="MS Mincho" w:hAnsiTheme="majorHAnsi" w:cstheme="majorHAnsi"/>
                <w:color w:val="auto"/>
                <w:lang w:val="en-US"/>
              </w:rPr>
              <w:t>Entity in charge and support</w:t>
            </w:r>
          </w:p>
        </w:tc>
        <w:tc>
          <w:tcPr>
            <w:cnfStyle w:val="000010000000" w:firstRow="0" w:lastRow="0" w:firstColumn="0" w:lastColumn="0" w:oddVBand="1" w:evenVBand="0" w:oddHBand="0" w:evenHBand="0" w:firstRowFirstColumn="0" w:firstRowLastColumn="0" w:lastRowFirstColumn="0" w:lastRowLastColumn="0"/>
            <w:tcW w:w="658" w:type="pct"/>
            <w:shd w:val="clear" w:color="auto" w:fill="D4EAF3" w:themeFill="accent1" w:themeFillTint="33"/>
          </w:tcPr>
          <w:p w14:paraId="34F68542" w14:textId="3603B077" w:rsidR="00F0593F" w:rsidRPr="00AB655A" w:rsidRDefault="00795BAE" w:rsidP="002B44D2">
            <w:pPr>
              <w:jc w:val="center"/>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Resources</w:t>
            </w:r>
          </w:p>
        </w:tc>
        <w:tc>
          <w:tcPr>
            <w:tcW w:w="415" w:type="pct"/>
            <w:shd w:val="clear" w:color="auto" w:fill="D4EAF3" w:themeFill="accent1" w:themeFillTint="33"/>
          </w:tcPr>
          <w:p w14:paraId="70630872" w14:textId="4154FDA2" w:rsidR="00F0593F" w:rsidRPr="00AB655A" w:rsidRDefault="00795BAE" w:rsidP="002B44D2">
            <w:pPr>
              <w:ind w:left="317"/>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Timeframe</w:t>
            </w:r>
          </w:p>
        </w:tc>
        <w:tc>
          <w:tcPr>
            <w:cnfStyle w:val="000010000000" w:firstRow="0" w:lastRow="0" w:firstColumn="0" w:lastColumn="0" w:oddVBand="1" w:evenVBand="0" w:oddHBand="0" w:evenHBand="0" w:firstRowFirstColumn="0" w:firstRowLastColumn="0" w:lastRowFirstColumn="0" w:lastRowLastColumn="0"/>
            <w:tcW w:w="800" w:type="pct"/>
            <w:shd w:val="clear" w:color="auto" w:fill="D4EAF3" w:themeFill="accent1" w:themeFillTint="33"/>
          </w:tcPr>
          <w:p w14:paraId="2247E498" w14:textId="462FD0C2" w:rsidR="00F0593F" w:rsidRPr="00AB655A" w:rsidRDefault="00795BAE" w:rsidP="002B44D2">
            <w:pPr>
              <w:jc w:val="center"/>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Indicators</w:t>
            </w:r>
          </w:p>
        </w:tc>
        <w:tc>
          <w:tcPr>
            <w:tcW w:w="697" w:type="pct"/>
            <w:shd w:val="clear" w:color="auto" w:fill="D4EAF3" w:themeFill="accent1" w:themeFillTint="33"/>
          </w:tcPr>
          <w:p w14:paraId="3B195357" w14:textId="140B21A4" w:rsidR="00F0593F" w:rsidRPr="00AB655A" w:rsidRDefault="00795BAE" w:rsidP="002B44D2">
            <w:pPr>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color w:val="auto"/>
                <w:lang w:val="en-US"/>
              </w:rPr>
            </w:pPr>
            <w:r w:rsidRPr="00AB655A">
              <w:rPr>
                <w:rFonts w:asciiTheme="majorHAnsi" w:eastAsia="MS Mincho" w:hAnsiTheme="majorHAnsi" w:cstheme="majorHAnsi"/>
                <w:color w:val="auto"/>
                <w:lang w:val="en-US"/>
              </w:rPr>
              <w:t>Verification methods</w:t>
            </w:r>
          </w:p>
        </w:tc>
      </w:tr>
      <w:tr w:rsidR="00E82FF2" w:rsidRPr="00ED097B" w14:paraId="2737F9D8"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7" w:type="pct"/>
            <w:vMerge w:val="restart"/>
          </w:tcPr>
          <w:p w14:paraId="3F5BBF54" w14:textId="0BCEE5FB" w:rsidR="00E82FF2" w:rsidRPr="00AB655A" w:rsidRDefault="00E82FF2" w:rsidP="00C06BC8">
            <w:pPr>
              <w:rPr>
                <w:rFonts w:asciiTheme="majorHAnsi" w:eastAsia="MS Mincho" w:hAnsiTheme="majorHAnsi" w:cstheme="majorHAnsi"/>
                <w:bCs w:val="0"/>
                <w:color w:val="000000"/>
                <w:lang w:val="en-US" w:eastAsia="es-ES"/>
              </w:rPr>
            </w:pPr>
            <w:r w:rsidRPr="00AB655A">
              <w:rPr>
                <w:rFonts w:asciiTheme="majorHAnsi" w:eastAsia="MS Mincho" w:hAnsiTheme="majorHAnsi" w:cstheme="majorHAnsi"/>
                <w:bCs w:val="0"/>
                <w:color w:val="000000"/>
                <w:lang w:val="en-US" w:eastAsia="es-ES"/>
              </w:rPr>
              <w:t xml:space="preserve">5.1 </w:t>
            </w:r>
            <w:r w:rsidR="00B22AF3" w:rsidRPr="00AB655A">
              <w:rPr>
                <w:rFonts w:asciiTheme="majorHAnsi" w:eastAsia="MS Mincho" w:hAnsiTheme="majorHAnsi" w:cstheme="majorHAnsi"/>
                <w:bCs w:val="0"/>
                <w:color w:val="000000"/>
                <w:lang w:val="en-US" w:eastAsia="es-ES"/>
              </w:rPr>
              <w:t>Include a gender approach in the institution’s internal and external communication strategy</w:t>
            </w:r>
          </w:p>
        </w:tc>
        <w:tc>
          <w:tcPr>
            <w:cnfStyle w:val="000010000000" w:firstRow="0" w:lastRow="0" w:firstColumn="0" w:lastColumn="0" w:oddVBand="1" w:evenVBand="0" w:oddHBand="0" w:evenHBand="0" w:firstRowFirstColumn="0" w:firstRowLastColumn="0" w:lastRowFirstColumn="0" w:lastRowLastColumn="0"/>
            <w:tcW w:w="1014" w:type="pct"/>
          </w:tcPr>
          <w:p w14:paraId="3DC7D24E" w14:textId="05216BD9" w:rsidR="00DD689F" w:rsidRPr="00AB655A" w:rsidRDefault="00DA7F5C" w:rsidP="00BA4BF6">
            <w:pPr>
              <w:rPr>
                <w:rFonts w:asciiTheme="majorHAnsi" w:eastAsia="MS Mincho" w:hAnsiTheme="majorHAnsi" w:cstheme="majorHAnsi"/>
                <w:bCs/>
                <w:lang w:val="en-US"/>
              </w:rPr>
            </w:pPr>
            <w:r w:rsidRPr="00AB655A">
              <w:rPr>
                <w:rFonts w:asciiTheme="majorHAnsi" w:eastAsia="MS Mincho" w:hAnsiTheme="majorHAnsi" w:cstheme="majorHAnsi"/>
                <w:bCs/>
                <w:lang w:val="en-US"/>
              </w:rPr>
              <w:t xml:space="preserve">5.1.1 </w:t>
            </w:r>
            <w:r w:rsidR="00BA4BF6" w:rsidRPr="00AB655A">
              <w:rPr>
                <w:rFonts w:asciiTheme="majorHAnsi" w:eastAsia="MS Mincho" w:hAnsiTheme="majorHAnsi" w:cstheme="majorHAnsi"/>
                <w:bCs/>
                <w:lang w:val="en-US"/>
              </w:rPr>
              <w:t xml:space="preserve">Develop/adapt a guide on </w:t>
            </w:r>
            <w:r w:rsidR="001F17A3">
              <w:rPr>
                <w:rFonts w:asciiTheme="majorHAnsi" w:eastAsia="MS Mincho" w:hAnsiTheme="majorHAnsi" w:cstheme="majorHAnsi"/>
                <w:bCs/>
                <w:lang w:val="en-US"/>
              </w:rPr>
              <w:t xml:space="preserve">non-sexist </w:t>
            </w:r>
            <w:r w:rsidR="00BA4BF6" w:rsidRPr="00AB655A">
              <w:rPr>
                <w:rFonts w:asciiTheme="majorHAnsi" w:eastAsia="MS Mincho" w:hAnsiTheme="majorHAnsi" w:cstheme="majorHAnsi"/>
                <w:bCs/>
                <w:lang w:val="en-US"/>
              </w:rPr>
              <w:t>inclusive language and non-</w:t>
            </w:r>
            <w:r w:rsidR="005B71DC" w:rsidRPr="00AB655A">
              <w:rPr>
                <w:rFonts w:asciiTheme="majorHAnsi" w:eastAsia="MS Mincho" w:hAnsiTheme="majorHAnsi" w:cstheme="majorHAnsi"/>
                <w:bCs/>
                <w:lang w:val="en-US"/>
              </w:rPr>
              <w:t>discriminatory</w:t>
            </w:r>
            <w:r w:rsidR="00BA4BF6" w:rsidRPr="00AB655A">
              <w:rPr>
                <w:rFonts w:asciiTheme="majorHAnsi" w:eastAsia="MS Mincho" w:hAnsiTheme="majorHAnsi" w:cstheme="majorHAnsi"/>
                <w:bCs/>
                <w:lang w:val="en-US"/>
              </w:rPr>
              <w:t xml:space="preserve"> images to be employed throughout the institution’s written and graphic documents, including the web </w:t>
            </w:r>
            <w:r w:rsidR="00BA4BF6" w:rsidRPr="00AB655A">
              <w:rPr>
                <w:rFonts w:asciiTheme="majorHAnsi" w:eastAsia="MS Mincho" w:hAnsiTheme="majorHAnsi" w:cstheme="majorHAnsi"/>
                <w:bCs/>
                <w:lang w:val="en-US"/>
              </w:rPr>
              <w:lastRenderedPageBreak/>
              <w:t>page, social media, internal communication, and audio-visual products.</w:t>
            </w:r>
          </w:p>
        </w:tc>
        <w:tc>
          <w:tcPr>
            <w:tcW w:w="709" w:type="pct"/>
          </w:tcPr>
          <w:p w14:paraId="35DBDD8B" w14:textId="517F301C" w:rsidR="00E82FF2" w:rsidRPr="00AB655A" w:rsidRDefault="00BA4BF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lastRenderedPageBreak/>
              <w:t>Communication Unit</w:t>
            </w:r>
          </w:p>
        </w:tc>
        <w:tc>
          <w:tcPr>
            <w:cnfStyle w:val="000010000000" w:firstRow="0" w:lastRow="0" w:firstColumn="0" w:lastColumn="0" w:oddVBand="1" w:evenVBand="0" w:oddHBand="0" w:evenHBand="0" w:firstRowFirstColumn="0" w:firstRowLastColumn="0" w:lastRowFirstColumn="0" w:lastRowLastColumn="0"/>
            <w:tcW w:w="658" w:type="pct"/>
          </w:tcPr>
          <w:p w14:paraId="1D3E7FFD" w14:textId="00886D30" w:rsidR="00E82FF2" w:rsidRPr="00AB655A" w:rsidRDefault="00BA4BF6"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Financial resources</w:t>
            </w:r>
          </w:p>
          <w:p w14:paraId="0C2202E9" w14:textId="5E739AF1" w:rsidR="005F395D" w:rsidRPr="00AB655A" w:rsidRDefault="00BA4BF6"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Consultancy to develop the Guide on </w:t>
            </w:r>
            <w:r w:rsidRPr="00AB655A">
              <w:rPr>
                <w:rFonts w:asciiTheme="majorHAnsi" w:eastAsia="MS Mincho" w:hAnsiTheme="majorHAnsi" w:cstheme="majorHAnsi"/>
                <w:lang w:val="en-US"/>
              </w:rPr>
              <w:lastRenderedPageBreak/>
              <w:t>Inclusive Language.</w:t>
            </w:r>
          </w:p>
          <w:p w14:paraId="4ECEE3DA" w14:textId="263C6FD0" w:rsidR="005F395D" w:rsidRPr="00AB655A" w:rsidRDefault="00BA4BF6"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Consultancy to incorporate a gender approach in graphic and audio-visual products.</w:t>
            </w:r>
          </w:p>
        </w:tc>
        <w:tc>
          <w:tcPr>
            <w:tcW w:w="415" w:type="pct"/>
          </w:tcPr>
          <w:p w14:paraId="72081189" w14:textId="67858198" w:rsidR="00E82FF2" w:rsidRPr="00AB655A" w:rsidRDefault="00795BAE" w:rsidP="00C06BC8">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Cs/>
                <w:lang w:val="en-US"/>
              </w:rPr>
            </w:pPr>
            <w:r w:rsidRPr="00AB655A">
              <w:rPr>
                <w:rFonts w:asciiTheme="majorHAnsi" w:eastAsia="MS Mincho" w:hAnsiTheme="majorHAnsi" w:cstheme="majorHAnsi"/>
                <w:bCs/>
                <w:lang w:val="en-US"/>
              </w:rPr>
              <w:lastRenderedPageBreak/>
              <w:t>Short</w:t>
            </w:r>
          </w:p>
        </w:tc>
        <w:tc>
          <w:tcPr>
            <w:cnfStyle w:val="000010000000" w:firstRow="0" w:lastRow="0" w:firstColumn="0" w:lastColumn="0" w:oddVBand="1" w:evenVBand="0" w:oddHBand="0" w:evenHBand="0" w:firstRowFirstColumn="0" w:firstRowLastColumn="0" w:lastRowFirstColumn="0" w:lastRowLastColumn="0"/>
            <w:tcW w:w="800" w:type="pct"/>
          </w:tcPr>
          <w:p w14:paraId="3A95B1D3" w14:textId="6E331B80" w:rsidR="00BA4BF6" w:rsidRPr="00AB655A" w:rsidRDefault="00BA4BF6"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Institutional communications use inclusive language with non-</w:t>
            </w:r>
            <w:r w:rsidR="001F17A3">
              <w:rPr>
                <w:rFonts w:asciiTheme="majorHAnsi" w:eastAsia="MS Mincho" w:hAnsiTheme="majorHAnsi" w:cstheme="majorHAnsi"/>
                <w:lang w:val="en-US"/>
              </w:rPr>
              <w:t xml:space="preserve">sexist or </w:t>
            </w:r>
            <w:r w:rsidRPr="00AB655A">
              <w:rPr>
                <w:rFonts w:asciiTheme="majorHAnsi" w:eastAsia="MS Mincho" w:hAnsiTheme="majorHAnsi" w:cstheme="majorHAnsi"/>
                <w:lang w:val="en-US"/>
              </w:rPr>
              <w:t>discriminatory images.</w:t>
            </w:r>
          </w:p>
        </w:tc>
        <w:tc>
          <w:tcPr>
            <w:tcW w:w="697" w:type="pct"/>
          </w:tcPr>
          <w:p w14:paraId="58DA6779" w14:textId="38EFCC19" w:rsidR="00E82FF2" w:rsidRPr="00AB655A" w:rsidRDefault="00BA4BF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Inclusive Language Manual.</w:t>
            </w:r>
          </w:p>
          <w:p w14:paraId="72D60A79" w14:textId="26A58E77" w:rsidR="00E82FF2" w:rsidRPr="00AB655A" w:rsidRDefault="00BA4BF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Institutional web page.</w:t>
            </w:r>
          </w:p>
          <w:p w14:paraId="1BD3CBA3" w14:textId="7521DF33" w:rsidR="00E82FF2" w:rsidRPr="00AB655A" w:rsidRDefault="00BA4BF6"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 xml:space="preserve">Internal and external </w:t>
            </w:r>
            <w:r w:rsidRPr="00AB655A">
              <w:rPr>
                <w:rFonts w:asciiTheme="majorHAnsi" w:eastAsia="MS Mincho" w:hAnsiTheme="majorHAnsi" w:cstheme="majorHAnsi"/>
                <w:lang w:val="en-US"/>
              </w:rPr>
              <w:lastRenderedPageBreak/>
              <w:t>communication and newsletters.</w:t>
            </w:r>
          </w:p>
        </w:tc>
      </w:tr>
      <w:tr w:rsidR="00E82FF2" w:rsidRPr="00ED097B" w14:paraId="61FCAA40" w14:textId="77777777" w:rsidTr="2425A842">
        <w:trPr>
          <w:trHeight w:val="284"/>
        </w:trPr>
        <w:tc>
          <w:tcPr>
            <w:cnfStyle w:val="001000000000" w:firstRow="0" w:lastRow="0" w:firstColumn="1" w:lastColumn="0" w:oddVBand="0" w:evenVBand="0" w:oddHBand="0" w:evenHBand="0" w:firstRowFirstColumn="0" w:firstRowLastColumn="0" w:lastRowFirstColumn="0" w:lastRowLastColumn="0"/>
            <w:tcW w:w="707" w:type="pct"/>
            <w:vMerge/>
          </w:tcPr>
          <w:p w14:paraId="4D067EDF" w14:textId="77777777" w:rsidR="00E82FF2" w:rsidRPr="00AB655A" w:rsidRDefault="00E82FF2" w:rsidP="00B72AEC">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14" w:type="pct"/>
          </w:tcPr>
          <w:p w14:paraId="0D3E0469" w14:textId="4FE5386A" w:rsidR="00BA4BF6" w:rsidRPr="00AB655A" w:rsidRDefault="15CEA2DD" w:rsidP="2425A842">
            <w:pPr>
              <w:rPr>
                <w:rFonts w:asciiTheme="majorHAnsi" w:eastAsia="MS Mincho" w:hAnsiTheme="majorHAnsi" w:cstheme="majorBidi"/>
                <w:lang w:val="en-US"/>
              </w:rPr>
            </w:pPr>
            <w:r w:rsidRPr="2425A842">
              <w:rPr>
                <w:rFonts w:asciiTheme="majorHAnsi" w:eastAsia="Calibri" w:hAnsiTheme="majorHAnsi" w:cstheme="majorBidi"/>
                <w:lang w:val="en-US"/>
              </w:rPr>
              <w:t xml:space="preserve">5.1.2 </w:t>
            </w:r>
            <w:r w:rsidR="06882215" w:rsidRPr="2425A842">
              <w:rPr>
                <w:rFonts w:asciiTheme="majorHAnsi" w:eastAsia="Calibri" w:hAnsiTheme="majorHAnsi" w:cstheme="majorBidi"/>
                <w:lang w:val="en-US"/>
              </w:rPr>
              <w:t>The institution perma</w:t>
            </w:r>
            <w:r w:rsidR="6D739924" w:rsidRPr="2425A842">
              <w:rPr>
                <w:rFonts w:asciiTheme="majorHAnsi" w:eastAsia="Calibri" w:hAnsiTheme="majorHAnsi" w:cstheme="majorBidi"/>
                <w:lang w:val="en-US"/>
              </w:rPr>
              <w:t>n</w:t>
            </w:r>
            <w:r w:rsidR="06882215" w:rsidRPr="2425A842">
              <w:rPr>
                <w:rFonts w:asciiTheme="majorHAnsi" w:eastAsia="Calibri" w:hAnsiTheme="majorHAnsi" w:cstheme="majorBidi"/>
                <w:lang w:val="en-US"/>
              </w:rPr>
              <w:t>e</w:t>
            </w:r>
            <w:r w:rsidR="6D739924" w:rsidRPr="2425A842">
              <w:rPr>
                <w:rFonts w:asciiTheme="majorHAnsi" w:eastAsia="Calibri" w:hAnsiTheme="majorHAnsi" w:cstheme="majorBidi"/>
                <w:lang w:val="en-US"/>
              </w:rPr>
              <w:t>ntly disseminates progress on gender in the labor sphere within and outside of</w:t>
            </w:r>
            <w:r w:rsidR="6D739924" w:rsidRPr="2425A842">
              <w:rPr>
                <w:rFonts w:asciiTheme="majorHAnsi" w:eastAsia="Calibri" w:hAnsiTheme="majorHAnsi" w:cstheme="majorBidi"/>
                <w:lang w:val="en-US"/>
              </w:rPr>
              <w:t xml:space="preserve"> the</w:t>
            </w:r>
            <w:r w:rsidR="6D739924" w:rsidRPr="2425A842">
              <w:rPr>
                <w:rFonts w:asciiTheme="majorHAnsi" w:eastAsia="Calibri" w:hAnsiTheme="majorHAnsi" w:cstheme="majorBidi"/>
                <w:lang w:val="en-US"/>
              </w:rPr>
              <w:t xml:space="preserve"> organization. </w:t>
            </w:r>
          </w:p>
        </w:tc>
        <w:tc>
          <w:tcPr>
            <w:tcW w:w="709" w:type="pct"/>
          </w:tcPr>
          <w:p w14:paraId="3787FA1F" w14:textId="4DFCBB2B" w:rsidR="00E82FF2" w:rsidRPr="00AB655A" w:rsidRDefault="00BA4BF6"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Communication Unit</w:t>
            </w:r>
          </w:p>
          <w:p w14:paraId="1F3BE9FE" w14:textId="6E3A7B91" w:rsidR="00E82FF2" w:rsidRPr="00AB655A" w:rsidRDefault="00BA4BF6"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58" w:type="pct"/>
          </w:tcPr>
          <w:p w14:paraId="11F4F2DC" w14:textId="3FBD0B95" w:rsidR="00E82FF2" w:rsidRPr="00AB655A" w:rsidRDefault="00795BAE"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Trained</w:t>
            </w:r>
            <w:r w:rsidR="001F17A3">
              <w:rPr>
                <w:rFonts w:asciiTheme="majorHAnsi" w:eastAsia="MS Mincho" w:hAnsiTheme="majorHAnsi" w:cstheme="majorHAnsi"/>
                <w:lang w:val="en-US"/>
              </w:rPr>
              <w:t xml:space="preserve"> and sensitized</w:t>
            </w:r>
            <w:r w:rsidRPr="00AB655A">
              <w:rPr>
                <w:rFonts w:asciiTheme="majorHAnsi" w:eastAsia="MS Mincho" w:hAnsiTheme="majorHAnsi" w:cstheme="majorHAnsi"/>
                <w:lang w:val="en-US"/>
              </w:rPr>
              <w:t xml:space="preserve"> h</w:t>
            </w:r>
            <w:r w:rsidR="00BA4BF6" w:rsidRPr="00AB655A">
              <w:rPr>
                <w:rFonts w:asciiTheme="majorHAnsi" w:eastAsia="MS Mincho" w:hAnsiTheme="majorHAnsi" w:cstheme="majorHAnsi"/>
                <w:lang w:val="en-US"/>
              </w:rPr>
              <w:t>uman resour</w:t>
            </w:r>
            <w:r w:rsidRPr="00AB655A">
              <w:rPr>
                <w:rFonts w:asciiTheme="majorHAnsi" w:eastAsia="MS Mincho" w:hAnsiTheme="majorHAnsi" w:cstheme="majorHAnsi"/>
                <w:lang w:val="en-US"/>
              </w:rPr>
              <w:t>ces from the Communication Unit.</w:t>
            </w:r>
          </w:p>
          <w:p w14:paraId="588C7171" w14:textId="2E872721" w:rsidR="00E82FF2" w:rsidRPr="00AB655A" w:rsidRDefault="00E82FF2" w:rsidP="005F395D">
            <w:pPr>
              <w:pStyle w:val="ListParagraph"/>
              <w:ind w:left="167"/>
              <w:rPr>
                <w:rFonts w:asciiTheme="majorHAnsi" w:eastAsia="MS Mincho" w:hAnsiTheme="majorHAnsi" w:cstheme="majorHAnsi"/>
                <w:lang w:val="en-US"/>
              </w:rPr>
            </w:pPr>
          </w:p>
        </w:tc>
        <w:tc>
          <w:tcPr>
            <w:tcW w:w="415" w:type="pct"/>
          </w:tcPr>
          <w:p w14:paraId="1EE8D06C" w14:textId="68861E81" w:rsidR="00E82FF2" w:rsidRPr="00AB655A" w:rsidRDefault="00BA4BF6" w:rsidP="00B72AEC">
            <w:pPr>
              <w:spacing w:before="0"/>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Cs/>
                <w:lang w:val="en-US"/>
              </w:rPr>
            </w:pPr>
            <w:r w:rsidRPr="00AB655A">
              <w:rPr>
                <w:rFonts w:asciiTheme="majorHAnsi" w:eastAsia="MS Mincho" w:hAnsiTheme="majorHAnsi" w:cstheme="majorHAnsi"/>
                <w:bCs/>
                <w:lang w:val="en-US"/>
              </w:rPr>
              <w:t>Medium</w:t>
            </w:r>
          </w:p>
        </w:tc>
        <w:tc>
          <w:tcPr>
            <w:cnfStyle w:val="000010000000" w:firstRow="0" w:lastRow="0" w:firstColumn="0" w:lastColumn="0" w:oddVBand="1" w:evenVBand="0" w:oddHBand="0" w:evenHBand="0" w:firstRowFirstColumn="0" w:firstRowLastColumn="0" w:lastRowFirstColumn="0" w:lastRowLastColumn="0"/>
            <w:tcW w:w="800" w:type="pct"/>
          </w:tcPr>
          <w:p w14:paraId="649086F0" w14:textId="58ED91C1" w:rsidR="00BA4BF6" w:rsidRPr="00AB655A" w:rsidRDefault="6D739924" w:rsidP="2425A842">
            <w:pPr>
              <w:pStyle w:val="ListParagraph"/>
              <w:numPr>
                <w:ilvl w:val="0"/>
                <w:numId w:val="14"/>
              </w:numPr>
              <w:ind w:left="167" w:hanging="167"/>
              <w:rPr>
                <w:rFonts w:asciiTheme="majorHAnsi" w:eastAsia="MS Mincho" w:hAnsiTheme="majorHAnsi" w:cstheme="majorBidi"/>
                <w:lang w:val="en-US"/>
              </w:rPr>
            </w:pPr>
            <w:r w:rsidRPr="2425A842">
              <w:rPr>
                <w:rFonts w:asciiTheme="majorHAnsi" w:eastAsia="Calibri" w:hAnsiTheme="majorHAnsi" w:cstheme="majorBidi"/>
                <w:lang w:val="en-US"/>
              </w:rPr>
              <w:t>Percentage of change in the stories related to progress on gender in the labor sphere</w:t>
            </w:r>
            <w:r w:rsidRPr="2425A842">
              <w:rPr>
                <w:rFonts w:asciiTheme="majorHAnsi" w:eastAsia="Calibri" w:hAnsiTheme="majorHAnsi" w:cstheme="majorBidi"/>
                <w:lang w:val="en-US"/>
              </w:rPr>
              <w:t>, which</w:t>
            </w:r>
            <w:r w:rsidRPr="2425A842">
              <w:rPr>
                <w:rFonts w:asciiTheme="majorHAnsi" w:eastAsia="Calibri" w:hAnsiTheme="majorHAnsi" w:cstheme="majorBidi"/>
                <w:lang w:val="en-US"/>
              </w:rPr>
              <w:t xml:space="preserve"> are included in newspapers, magazines, social media, and TV</w:t>
            </w:r>
            <w:r w:rsidR="5E19193C" w:rsidRPr="2425A842">
              <w:rPr>
                <w:rFonts w:asciiTheme="majorHAnsi" w:eastAsia="Calibri" w:hAnsiTheme="majorHAnsi" w:cstheme="majorBidi"/>
                <w:lang w:val="en-US"/>
              </w:rPr>
              <w:t>.</w:t>
            </w:r>
          </w:p>
        </w:tc>
        <w:tc>
          <w:tcPr>
            <w:tcW w:w="697" w:type="pct"/>
          </w:tcPr>
          <w:p w14:paraId="17959EE0" w14:textId="1FF08B39" w:rsidR="00E82FF2" w:rsidRPr="00AB655A" w:rsidRDefault="00DB779F" w:rsidP="00B41E54">
            <w:pPr>
              <w:pStyle w:val="ListParagraph"/>
              <w:numPr>
                <w:ilvl w:val="0"/>
                <w:numId w:val="14"/>
              </w:numPr>
              <w:ind w:left="167" w:hanging="167"/>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Records from the Training Unit</w:t>
            </w:r>
          </w:p>
        </w:tc>
      </w:tr>
      <w:tr w:rsidR="00E82FF2" w:rsidRPr="00ED097B" w14:paraId="1FD28DAE" w14:textId="77777777" w:rsidTr="2425A8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7" w:type="pct"/>
            <w:vMerge/>
          </w:tcPr>
          <w:p w14:paraId="2E3B47E4" w14:textId="3E384702" w:rsidR="00E82FF2" w:rsidRPr="00AB655A" w:rsidRDefault="00E82FF2" w:rsidP="00B72AEC">
            <w:pPr>
              <w:rPr>
                <w:rFonts w:asciiTheme="majorHAnsi" w:eastAsia="MS Mincho" w:hAnsiTheme="majorHAnsi" w:cstheme="majorHAnsi"/>
                <w:bCs w:val="0"/>
                <w:color w:val="000000"/>
                <w:lang w:val="en-US" w:eastAsia="es-ES"/>
              </w:rPr>
            </w:pPr>
          </w:p>
        </w:tc>
        <w:tc>
          <w:tcPr>
            <w:cnfStyle w:val="000010000000" w:firstRow="0" w:lastRow="0" w:firstColumn="0" w:lastColumn="0" w:oddVBand="1" w:evenVBand="0" w:oddHBand="0" w:evenHBand="0" w:firstRowFirstColumn="0" w:firstRowLastColumn="0" w:lastRowFirstColumn="0" w:lastRowLastColumn="0"/>
            <w:tcW w:w="1014" w:type="pct"/>
          </w:tcPr>
          <w:p w14:paraId="3341CE78" w14:textId="02C665AA" w:rsidR="00E82FF2" w:rsidRPr="00AB655A" w:rsidRDefault="00E82FF2" w:rsidP="00DB779F">
            <w:pPr>
              <w:spacing w:before="0"/>
              <w:contextualSpacing/>
              <w:rPr>
                <w:rFonts w:asciiTheme="majorHAnsi" w:eastAsia="MS Mincho" w:hAnsiTheme="majorHAnsi" w:cstheme="majorHAnsi"/>
                <w:lang w:val="en-US"/>
              </w:rPr>
            </w:pPr>
            <w:r w:rsidRPr="00AB655A">
              <w:rPr>
                <w:rFonts w:asciiTheme="majorHAnsi" w:eastAsia="Calibri" w:hAnsiTheme="majorHAnsi" w:cstheme="majorHAnsi"/>
                <w:bCs/>
                <w:lang w:val="en-US"/>
              </w:rPr>
              <w:t xml:space="preserve">5.1.3 </w:t>
            </w:r>
            <w:r w:rsidR="00DB779F" w:rsidRPr="00AB655A">
              <w:rPr>
                <w:rFonts w:asciiTheme="majorHAnsi" w:eastAsia="MS Mincho" w:hAnsiTheme="majorHAnsi" w:cstheme="majorHAnsi"/>
                <w:lang w:val="en-US"/>
              </w:rPr>
              <w:t>Organize campaigns that shed light on the</w:t>
            </w:r>
            <w:r w:rsidR="001F17A3">
              <w:rPr>
                <w:rFonts w:asciiTheme="majorHAnsi" w:eastAsia="MS Mincho" w:hAnsiTheme="majorHAnsi" w:cstheme="majorHAnsi"/>
                <w:lang w:val="en-US"/>
              </w:rPr>
              <w:t xml:space="preserve"> inequalities and</w:t>
            </w:r>
            <w:r w:rsidR="00DB779F" w:rsidRPr="00AB655A">
              <w:rPr>
                <w:rFonts w:asciiTheme="majorHAnsi" w:eastAsia="MS Mincho" w:hAnsiTheme="majorHAnsi" w:cstheme="majorHAnsi"/>
                <w:lang w:val="en-US"/>
              </w:rPr>
              <w:t xml:space="preserve"> discrimination that women face in the labor market.</w:t>
            </w:r>
          </w:p>
        </w:tc>
        <w:tc>
          <w:tcPr>
            <w:tcW w:w="709" w:type="pct"/>
          </w:tcPr>
          <w:p w14:paraId="71DB08D0" w14:textId="1979C1DE" w:rsidR="00E82FF2" w:rsidRPr="00AB655A" w:rsidRDefault="00DB779F"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Training Unit</w:t>
            </w:r>
          </w:p>
          <w:p w14:paraId="161DAAA7" w14:textId="77777777" w:rsidR="00DB779F" w:rsidRPr="00AB655A" w:rsidRDefault="00DB779F" w:rsidP="00DB779F">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National Mechanism for the Advancement of Women</w:t>
            </w:r>
          </w:p>
          <w:p w14:paraId="7E9AA6DC" w14:textId="6F027F72" w:rsidR="00E82FF2" w:rsidRPr="00AB655A" w:rsidRDefault="00DB779F"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Specialized Gender Unit</w:t>
            </w:r>
          </w:p>
        </w:tc>
        <w:tc>
          <w:tcPr>
            <w:cnfStyle w:val="000010000000" w:firstRow="0" w:lastRow="0" w:firstColumn="0" w:lastColumn="0" w:oddVBand="1" w:evenVBand="0" w:oddHBand="0" w:evenHBand="0" w:firstRowFirstColumn="0" w:firstRowLastColumn="0" w:lastRowFirstColumn="0" w:lastRowLastColumn="0"/>
            <w:tcW w:w="658" w:type="pct"/>
          </w:tcPr>
          <w:p w14:paraId="632FE0F3" w14:textId="728CCA2B" w:rsidR="00DB779F" w:rsidRPr="00AB655A" w:rsidRDefault="00795BAE" w:rsidP="00DB779F">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Trained h</w:t>
            </w:r>
            <w:r w:rsidR="00DB779F" w:rsidRPr="00AB655A">
              <w:rPr>
                <w:rFonts w:asciiTheme="majorHAnsi" w:eastAsia="MS Mincho" w:hAnsiTheme="majorHAnsi" w:cstheme="majorHAnsi"/>
                <w:lang w:val="en-US"/>
              </w:rPr>
              <w:t>uman resou</w:t>
            </w:r>
            <w:r w:rsidRPr="00AB655A">
              <w:rPr>
                <w:rFonts w:asciiTheme="majorHAnsi" w:eastAsia="MS Mincho" w:hAnsiTheme="majorHAnsi" w:cstheme="majorHAnsi"/>
                <w:lang w:val="en-US"/>
              </w:rPr>
              <w:t>rces from the Communication Unit</w:t>
            </w:r>
            <w:r w:rsidR="00DB779F" w:rsidRPr="00AB655A">
              <w:rPr>
                <w:rFonts w:asciiTheme="majorHAnsi" w:eastAsia="MS Mincho" w:hAnsiTheme="majorHAnsi" w:cstheme="majorHAnsi"/>
                <w:lang w:val="en-US"/>
              </w:rPr>
              <w:t>.</w:t>
            </w:r>
          </w:p>
          <w:p w14:paraId="0E003AE3" w14:textId="5DE875C8" w:rsidR="00E82FF2" w:rsidRPr="00AB655A" w:rsidRDefault="00DB779F" w:rsidP="00B41E54">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Financial resources</w:t>
            </w:r>
          </w:p>
        </w:tc>
        <w:tc>
          <w:tcPr>
            <w:tcW w:w="415" w:type="pct"/>
          </w:tcPr>
          <w:p w14:paraId="39DFDEC5" w14:textId="5A1AF712" w:rsidR="00E82FF2" w:rsidRPr="00AB655A" w:rsidRDefault="00795BAE" w:rsidP="00B72AEC">
            <w:pPr>
              <w:spacing w:before="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val="en-US"/>
              </w:rPr>
            </w:pPr>
            <w:r w:rsidRPr="00AB655A">
              <w:rPr>
                <w:rFonts w:asciiTheme="majorHAnsi" w:eastAsia="Calibri" w:hAnsiTheme="majorHAnsi" w:cstheme="majorHAnsi"/>
                <w:lang w:val="en-US"/>
              </w:rPr>
              <w:t>Short, medium, and long-term</w:t>
            </w:r>
          </w:p>
        </w:tc>
        <w:tc>
          <w:tcPr>
            <w:cnfStyle w:val="000010000000" w:firstRow="0" w:lastRow="0" w:firstColumn="0" w:lastColumn="0" w:oddVBand="1" w:evenVBand="0" w:oddHBand="0" w:evenHBand="0" w:firstRowFirstColumn="0" w:firstRowLastColumn="0" w:lastRowFirstColumn="0" w:lastRowLastColumn="0"/>
            <w:tcW w:w="800" w:type="pct"/>
          </w:tcPr>
          <w:p w14:paraId="43FBAC7A" w14:textId="1036DC4A" w:rsidR="007E0F6C" w:rsidRPr="00AB655A" w:rsidRDefault="007E0F6C" w:rsidP="007E0F6C">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 xml:space="preserve">A plan has been developed for campaigns that shed light on the </w:t>
            </w:r>
            <w:r w:rsidR="001F17A3">
              <w:rPr>
                <w:rFonts w:asciiTheme="majorHAnsi" w:eastAsia="MS Mincho" w:hAnsiTheme="majorHAnsi" w:cstheme="majorHAnsi"/>
                <w:lang w:val="en-US"/>
              </w:rPr>
              <w:t xml:space="preserve">inequalities and </w:t>
            </w:r>
            <w:r w:rsidRPr="00AB655A">
              <w:rPr>
                <w:rFonts w:asciiTheme="majorHAnsi" w:eastAsia="MS Mincho" w:hAnsiTheme="majorHAnsi" w:cstheme="majorHAnsi"/>
                <w:lang w:val="en-US"/>
              </w:rPr>
              <w:t>discrimination that women face in the labor market. This is a joint effort with Departmen</w:t>
            </w:r>
            <w:r w:rsidR="00DA7F5C" w:rsidRPr="00AB655A">
              <w:rPr>
                <w:rFonts w:asciiTheme="majorHAnsi" w:eastAsia="MS Mincho" w:hAnsiTheme="majorHAnsi" w:cstheme="majorHAnsi"/>
                <w:lang w:val="en-US"/>
              </w:rPr>
              <w:t xml:space="preserve">ts and Offices of the </w:t>
            </w:r>
            <w:r w:rsidR="00DA7F5C" w:rsidRPr="00AB655A">
              <w:rPr>
                <w:rFonts w:asciiTheme="majorHAnsi" w:eastAsia="MS Mincho" w:hAnsiTheme="majorHAnsi" w:cstheme="majorHAnsi"/>
                <w:lang w:val="en-US"/>
              </w:rPr>
              <w:lastRenderedPageBreak/>
              <w:t>Specialize</w:t>
            </w:r>
            <w:r w:rsidRPr="00AB655A">
              <w:rPr>
                <w:rFonts w:asciiTheme="majorHAnsi" w:eastAsia="MS Mincho" w:hAnsiTheme="majorHAnsi" w:cstheme="majorHAnsi"/>
                <w:lang w:val="en-US"/>
              </w:rPr>
              <w:t>d Gender Unit and the National Mechanism for the Advancement of Women</w:t>
            </w:r>
            <w:r w:rsidR="00DA7F5C" w:rsidRPr="00AB655A">
              <w:rPr>
                <w:rFonts w:asciiTheme="majorHAnsi" w:eastAsia="MS Mincho" w:hAnsiTheme="majorHAnsi" w:cstheme="majorHAnsi"/>
                <w:lang w:val="en-US"/>
              </w:rPr>
              <w:t>.</w:t>
            </w:r>
          </w:p>
          <w:p w14:paraId="5C721045" w14:textId="25BBDDF4" w:rsidR="00E82FF2" w:rsidRPr="00AB655A" w:rsidRDefault="007E0F6C" w:rsidP="007E0F6C">
            <w:pPr>
              <w:pStyle w:val="ListParagraph"/>
              <w:numPr>
                <w:ilvl w:val="0"/>
                <w:numId w:val="14"/>
              </w:numPr>
              <w:ind w:left="167" w:hanging="167"/>
              <w:rPr>
                <w:rFonts w:asciiTheme="majorHAnsi" w:eastAsia="MS Mincho" w:hAnsiTheme="majorHAnsi" w:cstheme="majorHAnsi"/>
                <w:lang w:val="en-US"/>
              </w:rPr>
            </w:pPr>
            <w:r w:rsidRPr="00AB655A">
              <w:rPr>
                <w:rFonts w:asciiTheme="majorHAnsi" w:eastAsia="MS Mincho" w:hAnsiTheme="majorHAnsi" w:cstheme="majorHAnsi"/>
                <w:lang w:val="en-US"/>
              </w:rPr>
              <w:t>Every campaign that was included in the Plan for every year has taken place.</w:t>
            </w:r>
          </w:p>
        </w:tc>
        <w:tc>
          <w:tcPr>
            <w:tcW w:w="697" w:type="pct"/>
          </w:tcPr>
          <w:p w14:paraId="333EAAF0" w14:textId="28390F01" w:rsidR="007E0F6C" w:rsidRDefault="007E0F6C"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lastRenderedPageBreak/>
              <w:t xml:space="preserve">Campaign plan that considers the needs of every Department and Office of the institution, including the Annual Plan of the Unit. </w:t>
            </w:r>
          </w:p>
          <w:p w14:paraId="23ADB8D6" w14:textId="297FBF7A" w:rsidR="001F17A3" w:rsidRPr="00AB655A" w:rsidRDefault="001F17A3"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Pr>
                <w:rFonts w:asciiTheme="majorHAnsi" w:eastAsia="MS Mincho" w:hAnsiTheme="majorHAnsi" w:cstheme="majorHAnsi"/>
                <w:lang w:val="en-US"/>
              </w:rPr>
              <w:t xml:space="preserve">Record of communications </w:t>
            </w:r>
            <w:r w:rsidR="004D5E7A">
              <w:rPr>
                <w:rFonts w:asciiTheme="majorHAnsi" w:eastAsia="MS Mincho" w:hAnsiTheme="majorHAnsi" w:cstheme="majorHAnsi"/>
                <w:lang w:val="en-US"/>
              </w:rPr>
              <w:lastRenderedPageBreak/>
              <w:t>with a gender approach.</w:t>
            </w:r>
          </w:p>
          <w:p w14:paraId="30016917" w14:textId="009080C3" w:rsidR="007E0F6C" w:rsidRPr="00AB655A" w:rsidRDefault="007E0F6C" w:rsidP="00B41E54">
            <w:pPr>
              <w:pStyle w:val="ListParagraph"/>
              <w:numPr>
                <w:ilvl w:val="0"/>
                <w:numId w:val="14"/>
              </w:numPr>
              <w:ind w:left="167" w:hanging="167"/>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r w:rsidRPr="00AB655A">
              <w:rPr>
                <w:rFonts w:asciiTheme="majorHAnsi" w:eastAsia="MS Mincho" w:hAnsiTheme="majorHAnsi" w:cstheme="majorHAnsi"/>
                <w:lang w:val="en-US"/>
              </w:rPr>
              <w:t>Printed material, visual or audio-visual products, publications, and website.</w:t>
            </w:r>
          </w:p>
          <w:p w14:paraId="49321262" w14:textId="77777777" w:rsidR="003B749A" w:rsidRPr="00AB655A" w:rsidRDefault="003B749A" w:rsidP="003B749A">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p>
          <w:p w14:paraId="1EE705B4" w14:textId="295BFE28" w:rsidR="003B749A" w:rsidRPr="00AB655A" w:rsidRDefault="003B749A" w:rsidP="003B749A">
            <w:pP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lang w:val="en-US"/>
              </w:rPr>
            </w:pPr>
          </w:p>
        </w:tc>
      </w:tr>
    </w:tbl>
    <w:p w14:paraId="54912581" w14:textId="5F58B02F" w:rsidR="00F0593F" w:rsidRPr="00AB655A" w:rsidRDefault="00F0593F">
      <w:pPr>
        <w:rPr>
          <w:rFonts w:ascii="Calibri" w:eastAsia="Calibri" w:hAnsi="Calibri" w:cs="Times New Roman"/>
          <w:lang w:val="en-US"/>
        </w:rPr>
      </w:pPr>
    </w:p>
    <w:p w14:paraId="5B342D03" w14:textId="6124F02F" w:rsidR="005F3497" w:rsidRPr="00AB655A" w:rsidRDefault="005F3497" w:rsidP="002B44D2">
      <w:pPr>
        <w:rPr>
          <w:rFonts w:ascii="Tahoma" w:hAnsi="Tahoma" w:cs="Tahoma"/>
          <w:sz w:val="22"/>
          <w:szCs w:val="22"/>
          <w:lang w:val="en-US"/>
        </w:rPr>
      </w:pPr>
    </w:p>
    <w:sectPr w:rsidR="005F3497" w:rsidRPr="00AB655A" w:rsidSect="009234C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3E6A" w14:textId="77777777" w:rsidR="00347A49" w:rsidRDefault="00347A49" w:rsidP="00486EE3">
      <w:r>
        <w:separator/>
      </w:r>
    </w:p>
  </w:endnote>
  <w:endnote w:type="continuationSeparator" w:id="0">
    <w:p w14:paraId="1BF6819F" w14:textId="77777777" w:rsidR="00347A49" w:rsidRDefault="00347A49" w:rsidP="0048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29797"/>
      <w:docPartObj>
        <w:docPartGallery w:val="Page Numbers (Bottom of Page)"/>
        <w:docPartUnique/>
      </w:docPartObj>
    </w:sdtPr>
    <w:sdtContent>
      <w:p w14:paraId="64DFBF3D" w14:textId="1EAC9DCA" w:rsidR="009D40DD" w:rsidRDefault="009D40DD">
        <w:pPr>
          <w:pStyle w:val="Footer"/>
          <w:jc w:val="center"/>
        </w:pPr>
        <w:r>
          <w:fldChar w:fldCharType="begin"/>
        </w:r>
        <w:r>
          <w:instrText>PAGE   \* MERGEFORMAT</w:instrText>
        </w:r>
        <w:r>
          <w:fldChar w:fldCharType="separate"/>
        </w:r>
        <w:r w:rsidR="00920094">
          <w:rPr>
            <w:noProof/>
          </w:rPr>
          <w:t>33</w:t>
        </w:r>
        <w:r>
          <w:fldChar w:fldCharType="end"/>
        </w:r>
      </w:p>
    </w:sdtContent>
  </w:sdt>
  <w:p w14:paraId="4ED76501" w14:textId="77777777" w:rsidR="009D40DD" w:rsidRDefault="009D4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BA50" w14:textId="77777777" w:rsidR="00347A49" w:rsidRDefault="00347A49" w:rsidP="00486EE3">
      <w:r>
        <w:separator/>
      </w:r>
    </w:p>
  </w:footnote>
  <w:footnote w:type="continuationSeparator" w:id="0">
    <w:p w14:paraId="01C9E17F" w14:textId="77777777" w:rsidR="00347A49" w:rsidRDefault="00347A49" w:rsidP="00486EE3">
      <w:r>
        <w:continuationSeparator/>
      </w:r>
    </w:p>
  </w:footnote>
  <w:footnote w:id="1">
    <w:p w14:paraId="2056C6A8" w14:textId="02C7DA5E" w:rsidR="009D40DD" w:rsidRPr="00F22884" w:rsidRDefault="009D40DD" w:rsidP="002826AC">
      <w:pPr>
        <w:pStyle w:val="FootnoteText"/>
        <w:spacing w:line="240" w:lineRule="auto"/>
        <w:jc w:val="both"/>
        <w:rPr>
          <w:rFonts w:cstheme="minorHAnsi"/>
          <w:lang w:val="en-US"/>
        </w:rPr>
      </w:pPr>
      <w:r w:rsidRPr="00F22884">
        <w:rPr>
          <w:rStyle w:val="FootnoteReference"/>
          <w:rFonts w:cstheme="minorHAnsi"/>
          <w:lang w:val="en-US"/>
        </w:rPr>
        <w:footnoteRef/>
      </w:r>
      <w:r w:rsidRPr="00F22884">
        <w:rPr>
          <w:rFonts w:cstheme="minorHAnsi"/>
          <w:lang w:val="en-US"/>
        </w:rPr>
        <w:t xml:space="preserve">   “</w:t>
      </w:r>
      <w:r w:rsidRPr="00F22884">
        <w:rPr>
          <w:rFonts w:cstheme="minorHAnsi"/>
          <w:i/>
          <w:lang w:val="en-US"/>
        </w:rPr>
        <w:t xml:space="preserve">The Institutionalization of a Gender Approach in the Ministries of Labor of the Americas” </w:t>
      </w:r>
      <w:r w:rsidRPr="00F22884">
        <w:rPr>
          <w:rFonts w:cstheme="minorHAnsi"/>
          <w:lang w:val="en-US"/>
        </w:rPr>
        <w:t>was published in 2009 after an extensive process of consultation with the Ministries of Labor and the National Mechanisms for the Advancement of Women (MNM). Later, in 2021, a new study was published: “</w:t>
      </w:r>
      <w:r w:rsidRPr="00F22884">
        <w:rPr>
          <w:rFonts w:cstheme="minorHAnsi"/>
          <w:i/>
          <w:lang w:val="en-US"/>
        </w:rPr>
        <w:t xml:space="preserve">The Institutionalization of a Gender Approach in the Ministries of Labor: Balance of a Decade”. </w:t>
      </w:r>
      <w:r w:rsidRPr="00F22884">
        <w:rPr>
          <w:rFonts w:cstheme="minorHAnsi"/>
          <w:lang w:val="en-US"/>
        </w:rPr>
        <w:t>I</w:t>
      </w:r>
      <w:r>
        <w:rPr>
          <w:rFonts w:cstheme="minorHAnsi"/>
          <w:lang w:val="en-US"/>
        </w:rPr>
        <w:t>t</w:t>
      </w:r>
      <w:r w:rsidRPr="00F22884">
        <w:rPr>
          <w:rFonts w:cstheme="minorHAnsi"/>
          <w:i/>
          <w:lang w:val="en-US"/>
        </w:rPr>
        <w:t xml:space="preserve"> </w:t>
      </w:r>
      <w:r w:rsidRPr="00F22884">
        <w:rPr>
          <w:rFonts w:cstheme="minorHAnsi"/>
          <w:lang w:val="en-US"/>
        </w:rPr>
        <w:t xml:space="preserve">details the progress made on the issue. Both studies are available on: </w:t>
      </w:r>
      <w:r>
        <w:fldChar w:fldCharType="begin"/>
      </w:r>
      <w:r w:rsidRPr="00FD06A4">
        <w:rPr>
          <w:lang w:val="en-US"/>
          <w:rPrChange w:id="0" w:author="Guillermo Calzada Pérez" w:date="2021-11-02T11:15:00Z">
            <w:rPr/>
          </w:rPrChange>
        </w:rPr>
        <w:instrText xml:space="preserve"> HYPERLINK "http://www.rialnet.org/?q=en/estudios" </w:instrText>
      </w:r>
      <w:r>
        <w:fldChar w:fldCharType="separate"/>
      </w:r>
      <w:r w:rsidRPr="00F22884">
        <w:rPr>
          <w:rStyle w:val="Hyperlink"/>
          <w:rFonts w:cstheme="minorHAnsi"/>
          <w:lang w:val="en-US"/>
        </w:rPr>
        <w:t>http://www.rialnet.org/?q=en/estudios</w:t>
      </w:r>
      <w:r>
        <w:rPr>
          <w:rStyle w:val="Hyperlink"/>
          <w:rFonts w:cstheme="minorHAnsi"/>
          <w:lang w:val="en-US"/>
        </w:rPr>
        <w:fldChar w:fldCharType="end"/>
      </w:r>
      <w:r w:rsidRPr="00F22884">
        <w:rPr>
          <w:rFonts w:cstheme="minorHAnsi"/>
          <w:lang w:val="en-US"/>
        </w:rPr>
        <w:t xml:space="preserve"> </w:t>
      </w:r>
    </w:p>
  </w:footnote>
  <w:footnote w:id="2">
    <w:p w14:paraId="256C9A0A" w14:textId="651A5408" w:rsidR="009D40DD" w:rsidRPr="00F22884" w:rsidRDefault="009D40DD" w:rsidP="00D826A5">
      <w:pPr>
        <w:pStyle w:val="FootnoteText"/>
        <w:spacing w:after="0" w:line="240" w:lineRule="auto"/>
        <w:jc w:val="both"/>
        <w:rPr>
          <w:rFonts w:cstheme="minorHAnsi"/>
          <w:lang w:val="en-US"/>
        </w:rPr>
      </w:pPr>
      <w:r w:rsidRPr="00F22884">
        <w:rPr>
          <w:rStyle w:val="FootnoteReference"/>
          <w:rFonts w:cstheme="minorHAnsi"/>
          <w:lang w:val="en-US"/>
        </w:rPr>
        <w:footnoteRef/>
      </w:r>
      <w:r w:rsidRPr="00F22884">
        <w:rPr>
          <w:rFonts w:cstheme="minorHAnsi"/>
          <w:lang w:val="en-US"/>
        </w:rPr>
        <w:t xml:space="preserve"> Model for the creation of gender units in the Public State Administration for the Government of the State of Sonora. November 2021 (</w:t>
      </w:r>
      <w:r>
        <w:fldChar w:fldCharType="begin"/>
      </w:r>
      <w:r w:rsidRPr="00FD06A4">
        <w:rPr>
          <w:lang w:val="en-US"/>
          <w:rPrChange w:id="1" w:author="Guillermo Calzada Pérez" w:date="2021-11-02T11:15:00Z">
            <w:rPr/>
          </w:rPrChange>
        </w:rPr>
        <w:instrText xml:space="preserve"> HYPERLINK "http://cedoc.inmujeres.gob.mx/ftpg/Sonora/SON_MB15_Unidades_genero_2012.pdf" </w:instrText>
      </w:r>
      <w:r>
        <w:fldChar w:fldCharType="separate"/>
      </w:r>
      <w:r w:rsidRPr="00F22884">
        <w:rPr>
          <w:rStyle w:val="Hyperlink"/>
          <w:rFonts w:cstheme="minorHAnsi"/>
          <w:lang w:val="en-US"/>
        </w:rPr>
        <w:t>http://cedoc.inmujeres.gob.mx/ftpg/Sonora/SON_MB15_Unidades_genero_2012.pdf</w:t>
      </w:r>
      <w:r>
        <w:rPr>
          <w:rStyle w:val="Hyperlink"/>
          <w:rFonts w:cstheme="minorHAnsi"/>
          <w:lang w:val="en-US"/>
        </w:rPr>
        <w:fldChar w:fldCharType="end"/>
      </w:r>
      <w:r w:rsidRPr="00F22884">
        <w:rPr>
          <w:rFonts w:cstheme="minorHAnsi"/>
          <w:lang w:val="en-US"/>
        </w:rPr>
        <w:t>)</w:t>
      </w:r>
    </w:p>
    <w:p w14:paraId="525E2E79" w14:textId="08F7D0E8" w:rsidR="009D40DD" w:rsidRPr="00F22884" w:rsidRDefault="009D40DD" w:rsidP="00D826A5">
      <w:pPr>
        <w:pStyle w:val="FootnoteText"/>
        <w:spacing w:before="0" w:after="0" w:line="240" w:lineRule="auto"/>
        <w:ind w:left="284"/>
        <w:jc w:val="both"/>
        <w:rPr>
          <w:rFonts w:cstheme="minorHAnsi"/>
          <w:lang w:val="en-US"/>
        </w:rPr>
      </w:pPr>
      <w:r w:rsidRPr="00F22884">
        <w:rPr>
          <w:rFonts w:cstheme="minorHAnsi"/>
          <w:lang w:val="en-US"/>
        </w:rPr>
        <w:t>Creation of Gender Equality Units and the National Network of Gender Equality Units # 37906-MP-MCM Costa Rica (</w:t>
      </w:r>
      <w:r>
        <w:fldChar w:fldCharType="begin"/>
      </w:r>
      <w:r w:rsidRPr="00FD06A4">
        <w:rPr>
          <w:lang w:val="en-US"/>
          <w:rPrChange w:id="2" w:author="Guillermo Calzada Pérez" w:date="2021-11-02T11:15:00Z">
            <w:rPr/>
          </w:rPrChange>
        </w:rPr>
        <w:instrText xml:space="preserve"> HYPERLINK "http://www.pgrweb.go.cr/scij/Busqueda/Normativa/Normas/nrm_texto_completo.aspx?param1=NRTC&amp;nValor1=1&amp;nValor2=75718&amp;nValor3=94023&amp;strTipM=TC" </w:instrText>
      </w:r>
      <w:r>
        <w:fldChar w:fldCharType="separate"/>
      </w:r>
      <w:r w:rsidRPr="00F22884">
        <w:rPr>
          <w:rStyle w:val="Hyperlink"/>
          <w:rFonts w:cstheme="minorHAnsi"/>
          <w:lang w:val="en-US"/>
        </w:rPr>
        <w:t>http://www.pgrweb.go.cr/scij/Busqueda/Normativa/Normas/nrm_texto_completo.aspx?param1=NRTC&amp;nValor1=1&amp;nValor2=75718&amp;nValor3=94023&amp;strTipM=TC</w:t>
      </w:r>
      <w:r>
        <w:rPr>
          <w:rStyle w:val="Hyperlink"/>
          <w:rFonts w:cstheme="minorHAnsi"/>
          <w:lang w:val="en-US"/>
        </w:rPr>
        <w:fldChar w:fldCharType="end"/>
      </w:r>
      <w:r w:rsidRPr="00F22884">
        <w:rPr>
          <w:rFonts w:cstheme="minorHAnsi"/>
          <w:lang w:val="en-US"/>
        </w:rPr>
        <w:t xml:space="preserve">); </w:t>
      </w:r>
    </w:p>
    <w:p w14:paraId="0229C4AF" w14:textId="460DCFDE" w:rsidR="009D40DD" w:rsidRPr="00F22884" w:rsidRDefault="009D40DD" w:rsidP="00D826A5">
      <w:pPr>
        <w:pStyle w:val="FootnoteText"/>
        <w:numPr>
          <w:ilvl w:val="0"/>
          <w:numId w:val="8"/>
        </w:numPr>
        <w:spacing w:after="0" w:line="240" w:lineRule="auto"/>
        <w:ind w:left="284" w:hanging="284"/>
        <w:jc w:val="both"/>
        <w:rPr>
          <w:rFonts w:cstheme="minorHAnsi"/>
          <w:lang w:val="en-US"/>
        </w:rPr>
      </w:pPr>
      <w:r w:rsidRPr="00F22884">
        <w:rPr>
          <w:rFonts w:cstheme="minorHAnsi"/>
          <w:lang w:val="en-US"/>
        </w:rPr>
        <w:t>Functions related to Labor Equity with a Gender Approach. Ministry of Labor of Colombia. (</w:t>
      </w:r>
      <w:r>
        <w:fldChar w:fldCharType="begin"/>
      </w:r>
      <w:r w:rsidRPr="00FD06A4">
        <w:rPr>
          <w:lang w:val="en-US"/>
          <w:rPrChange w:id="3" w:author="Guillermo Calzada Pérez" w:date="2021-11-02T11:15:00Z">
            <w:rPr/>
          </w:rPrChange>
        </w:rPr>
        <w:instrText xml:space="preserve"> HYPERLINK "https://www.mintrabajo.gov.co/el-ministerio/grupo-interno-de-trabajo-para-las-victimas-y-la-equidad-laboral-con-enfoque-de-genero/equidad-laboral-con-enfoque-de-genero" </w:instrText>
      </w:r>
      <w:r>
        <w:fldChar w:fldCharType="separate"/>
      </w:r>
      <w:r w:rsidRPr="00F22884">
        <w:rPr>
          <w:rStyle w:val="Hyperlink"/>
          <w:rFonts w:cstheme="minorHAnsi"/>
          <w:lang w:val="en-US"/>
        </w:rPr>
        <w:t>https://www.mintrabajo.gov.co/el-ministerio/grupo-interno-de-trabajo-para-las-victimas-y-la-equidad-laboral-con-enfoque-de-genero/equidad-laboral-con-enfoque-de-genero</w:t>
      </w:r>
      <w:r>
        <w:rPr>
          <w:rStyle w:val="Hyperlink"/>
          <w:rFonts w:cstheme="minorHAnsi"/>
          <w:lang w:val="en-US"/>
        </w:rPr>
        <w:fldChar w:fldCharType="end"/>
      </w:r>
      <w:r w:rsidRPr="00F22884">
        <w:rPr>
          <w:rFonts w:cstheme="minorHAnsi"/>
          <w:lang w:val="en-US"/>
        </w:rPr>
        <w:t xml:space="preserve">); </w:t>
      </w:r>
    </w:p>
    <w:p w14:paraId="176B1032" w14:textId="5525B1A0" w:rsidR="009D40DD" w:rsidRPr="00F22884" w:rsidRDefault="009D40DD" w:rsidP="00D826A5">
      <w:pPr>
        <w:pStyle w:val="FootnoteText"/>
        <w:numPr>
          <w:ilvl w:val="0"/>
          <w:numId w:val="8"/>
        </w:numPr>
        <w:spacing w:after="0" w:line="240" w:lineRule="auto"/>
        <w:ind w:left="284" w:hanging="284"/>
        <w:jc w:val="both"/>
        <w:rPr>
          <w:rFonts w:cstheme="minorHAnsi"/>
          <w:lang w:val="en-US"/>
        </w:rPr>
      </w:pPr>
      <w:r w:rsidRPr="00F22884">
        <w:rPr>
          <w:rFonts w:cstheme="minorHAnsi"/>
          <w:lang w:val="en-US"/>
        </w:rPr>
        <w:t xml:space="preserve">AGREEMENT that constitutes the Gender Equality Unit in the Secretariat of Labor and </w:t>
      </w:r>
      <w:proofErr w:type="gramStart"/>
      <w:r w:rsidRPr="00F22884">
        <w:rPr>
          <w:rFonts w:cstheme="minorHAnsi"/>
          <w:lang w:val="en-US"/>
        </w:rPr>
        <w:t>Social  Welfare</w:t>
      </w:r>
      <w:proofErr w:type="gramEnd"/>
      <w:r w:rsidRPr="00F22884">
        <w:rPr>
          <w:rFonts w:cstheme="minorHAnsi"/>
          <w:lang w:val="en-US"/>
        </w:rPr>
        <w:t xml:space="preserve"> (</w:t>
      </w:r>
      <w:r>
        <w:fldChar w:fldCharType="begin"/>
      </w:r>
      <w:r w:rsidRPr="00FD06A4">
        <w:rPr>
          <w:lang w:val="en-US"/>
          <w:rPrChange w:id="4" w:author="Guillermo Calzada Pérez" w:date="2021-11-02T11:15:00Z">
            <w:rPr/>
          </w:rPrChange>
        </w:rPr>
        <w:instrText xml:space="preserve"> HYPERLINK "http://www.dof.gob.mx/nota_detalle.php?codigo=5590606&amp;fecha=27/03/2020" </w:instrText>
      </w:r>
      <w:r>
        <w:fldChar w:fldCharType="separate"/>
      </w:r>
      <w:r w:rsidRPr="00F22884">
        <w:rPr>
          <w:rStyle w:val="Hyperlink"/>
          <w:rFonts w:cstheme="minorHAnsi"/>
          <w:lang w:val="en-US"/>
        </w:rPr>
        <w:t>http://www.dof.gob.mx/nota_detalle.php?codigo=5590606&amp;fecha=27/03/2020</w:t>
      </w:r>
      <w:r>
        <w:rPr>
          <w:rStyle w:val="Hyperlink"/>
          <w:rFonts w:cstheme="minorHAnsi"/>
          <w:lang w:val="en-US"/>
        </w:rPr>
        <w:fldChar w:fldCharType="end"/>
      </w:r>
      <w:r w:rsidRPr="00F22884">
        <w:rPr>
          <w:rFonts w:cstheme="minorHAnsi"/>
          <w:lang w:val="en-US"/>
        </w:rPr>
        <w:t xml:space="preserve">); </w:t>
      </w:r>
    </w:p>
    <w:p w14:paraId="0158FE80" w14:textId="78F60AEE" w:rsidR="009D40DD" w:rsidRPr="00F22884" w:rsidRDefault="009D40DD" w:rsidP="00D826A5">
      <w:pPr>
        <w:pStyle w:val="FootnoteText"/>
        <w:numPr>
          <w:ilvl w:val="0"/>
          <w:numId w:val="8"/>
        </w:numPr>
        <w:spacing w:after="0" w:line="240" w:lineRule="auto"/>
        <w:ind w:left="284" w:hanging="284"/>
        <w:jc w:val="both"/>
        <w:rPr>
          <w:rFonts w:cstheme="minorHAnsi"/>
          <w:lang w:val="en-US"/>
        </w:rPr>
      </w:pPr>
      <w:r w:rsidRPr="00F22884">
        <w:rPr>
          <w:rFonts w:cstheme="minorHAnsi"/>
          <w:lang w:val="en-US"/>
        </w:rPr>
        <w:t>Manual for the Job Descriptions of the Gender Equality Unit. Office of Institutional Coordination and Development. Ministry of Labor and Social Security, El Salvador (</w:t>
      </w:r>
      <w:hyperlink r:id="rId1" w:history="1">
        <w:r w:rsidRPr="00F22884">
          <w:rPr>
            <w:rStyle w:val="Hyperlink"/>
            <w:rFonts w:cstheme="minorHAnsi"/>
            <w:lang w:val="en-US"/>
          </w:rPr>
          <w:t>file:///C:/Users/Usuario/Downloads/manual-puestos-unidad-equidad-generos-2012......pdf</w:t>
        </w:r>
      </w:hyperlink>
      <w:r w:rsidRPr="00F22884">
        <w:rPr>
          <w:rFonts w:cstheme="minorHAnsi"/>
          <w:lang w:val="en-US"/>
        </w:rPr>
        <w:t>)</w:t>
      </w:r>
    </w:p>
    <w:p w14:paraId="4E281EAF" w14:textId="7320B601" w:rsidR="009D40DD" w:rsidRPr="00F22884" w:rsidRDefault="009D40DD" w:rsidP="00D826A5">
      <w:pPr>
        <w:pStyle w:val="FootnoteText"/>
        <w:numPr>
          <w:ilvl w:val="0"/>
          <w:numId w:val="8"/>
        </w:numPr>
        <w:spacing w:line="240" w:lineRule="auto"/>
        <w:ind w:left="284" w:hanging="284"/>
        <w:jc w:val="both"/>
        <w:rPr>
          <w:rFonts w:cstheme="minorHAnsi"/>
          <w:lang w:val="en-US"/>
        </w:rPr>
      </w:pPr>
      <w:r w:rsidRPr="00F22884">
        <w:rPr>
          <w:rFonts w:cstheme="minorHAnsi"/>
          <w:lang w:val="en-US"/>
        </w:rPr>
        <w:t>Joint resolution between the Ministry of Public Administration and the Ministry</w:t>
      </w:r>
      <w:r>
        <w:rPr>
          <w:rFonts w:cstheme="minorHAnsi"/>
          <w:lang w:val="en-US"/>
        </w:rPr>
        <w:t xml:space="preserve"> of Women</w:t>
      </w:r>
      <w:r w:rsidRPr="00F22884">
        <w:rPr>
          <w:rFonts w:cstheme="minorHAnsi"/>
          <w:lang w:val="en-US"/>
        </w:rPr>
        <w:t xml:space="preserve"> that stipulates the creation of the Gender Equality Units in the public sector. The Dominican Republic, September 11, 2019 (</w:t>
      </w:r>
      <w:r>
        <w:fldChar w:fldCharType="begin"/>
      </w:r>
      <w:r w:rsidRPr="00FD06A4">
        <w:rPr>
          <w:lang w:val="en-US"/>
          <w:rPrChange w:id="5" w:author="Guillermo Calzada Pérez" w:date="2021-11-02T11:15:00Z">
            <w:rPr/>
          </w:rPrChange>
        </w:rPr>
        <w:instrText xml:space="preserve"> HYPERLINK "https://mujer.gob.do/transparencia/phocadownload/BaseLegal/Resoluciones/Resolucion%20Conjunta%20MMUJER%20Y%20MAP%20Res%20Unidades%20de%20Igualdad%20de%20Genero%20Sector%20Publico.pdf" </w:instrText>
      </w:r>
      <w:r>
        <w:fldChar w:fldCharType="separate"/>
      </w:r>
      <w:r w:rsidRPr="00F22884">
        <w:rPr>
          <w:rStyle w:val="Hyperlink"/>
          <w:rFonts w:cstheme="minorHAnsi"/>
          <w:lang w:val="en-US"/>
        </w:rPr>
        <w:t>https://mujer.gob.do/transparencia/phocadownload/BaseLegal/Resoluciones/Resolucion%20Conjunta%20MMUJER%20Y%20MAP%20Res%20Unidades%20de%20Igualdad%20de%20Genero%20Sector%20Publico.pdf</w:t>
      </w:r>
      <w:r>
        <w:rPr>
          <w:rStyle w:val="Hyperlink"/>
          <w:rFonts w:cstheme="minorHAnsi"/>
          <w:lang w:val="en-US"/>
        </w:rPr>
        <w:fldChar w:fldCharType="end"/>
      </w:r>
      <w:r w:rsidRPr="00F22884">
        <w:rPr>
          <w:rFonts w:cstheme="minorHAnsi"/>
          <w:lang w:val="en-US"/>
        </w:rPr>
        <w:t>)</w:t>
      </w:r>
    </w:p>
    <w:p w14:paraId="742E0387" w14:textId="09515DE6" w:rsidR="009D40DD" w:rsidRPr="00F22884" w:rsidRDefault="009D40DD" w:rsidP="00AE0882">
      <w:pPr>
        <w:pStyle w:val="FootnoteText"/>
        <w:numPr>
          <w:ilvl w:val="0"/>
          <w:numId w:val="8"/>
        </w:numPr>
        <w:spacing w:line="240" w:lineRule="auto"/>
        <w:ind w:left="284" w:hanging="284"/>
        <w:rPr>
          <w:rFonts w:cstheme="minorHAnsi"/>
          <w:lang w:val="en-US"/>
        </w:rPr>
      </w:pPr>
      <w:r>
        <w:rPr>
          <w:rFonts w:cstheme="minorHAnsi"/>
          <w:lang w:val="en-US"/>
        </w:rPr>
        <w:t>Exempt</w:t>
      </w:r>
      <w:r w:rsidRPr="00F22884">
        <w:rPr>
          <w:rFonts w:cstheme="minorHAnsi"/>
          <w:lang w:val="en-US"/>
        </w:rPr>
        <w:t xml:space="preserve"> Resolution DAF #33 Ref: Creates the Gender Equity Committee SUSESO February 14, 2019, Santiago de Chile. Sub-Secretariat of Social Security, Ministry of Labor and Social Welfare. </w:t>
      </w:r>
      <w:r>
        <w:fldChar w:fldCharType="begin"/>
      </w:r>
      <w:r w:rsidRPr="00FD06A4">
        <w:rPr>
          <w:lang w:val="en-US"/>
          <w:rPrChange w:id="6" w:author="Guillermo Calzada Pérez" w:date="2021-11-02T11:15:00Z">
            <w:rPr/>
          </w:rPrChange>
        </w:rPr>
        <w:instrText xml:space="preserve"> HYPERLINK "https://www.suseso.cl/601/articles-578130_recurso_000.pdf" </w:instrText>
      </w:r>
      <w:r>
        <w:fldChar w:fldCharType="separate"/>
      </w:r>
      <w:r w:rsidRPr="00F22884">
        <w:rPr>
          <w:rStyle w:val="Hyperlink"/>
          <w:rFonts w:cstheme="minorHAnsi"/>
          <w:lang w:val="en-US"/>
        </w:rPr>
        <w:t>https://www.suseso.cl/601/articles-578130_recurso_000.pdf</w:t>
      </w:r>
      <w:r>
        <w:rPr>
          <w:rStyle w:val="Hyperlink"/>
          <w:rFonts w:cstheme="minorHAnsi"/>
          <w:lang w:val="en-US"/>
        </w:rPr>
        <w:fldChar w:fldCharType="end"/>
      </w:r>
    </w:p>
  </w:footnote>
  <w:footnote w:id="3">
    <w:p w14:paraId="07B1C345" w14:textId="5573918D" w:rsidR="009D40DD" w:rsidRPr="00F22884" w:rsidRDefault="009D40DD" w:rsidP="006123C9">
      <w:pPr>
        <w:pStyle w:val="FootnoteText"/>
        <w:spacing w:line="240" w:lineRule="auto"/>
        <w:rPr>
          <w:lang w:val="en-US"/>
        </w:rPr>
      </w:pPr>
      <w:r w:rsidRPr="00F22884">
        <w:rPr>
          <w:rStyle w:val="FootnoteReference"/>
          <w:rFonts w:cstheme="minorHAnsi"/>
          <w:lang w:val="en-US"/>
        </w:rPr>
        <w:footnoteRef/>
      </w:r>
      <w:r w:rsidRPr="00F22884">
        <w:rPr>
          <w:rFonts w:cstheme="minorHAnsi"/>
          <w:lang w:val="en-US"/>
        </w:rPr>
        <w:t xml:space="preserve"> “Advancing in the institutionalization of a gender approach in the Ministries of Labor of the Americas: lessons learned, findings and recommendations from three Participatory Gender Audits” published by RIAL/OAS in 2013 and available in:</w:t>
      </w:r>
      <w:r w:rsidRPr="00F22884">
        <w:rPr>
          <w:rFonts w:cstheme="minorHAnsi"/>
          <w:color w:val="373737"/>
          <w:shd w:val="clear" w:color="auto" w:fill="FFFFFF"/>
          <w:lang w:val="en-US"/>
        </w:rPr>
        <w:t xml:space="preserve"> </w:t>
      </w:r>
      <w:r>
        <w:fldChar w:fldCharType="begin"/>
      </w:r>
      <w:r w:rsidRPr="00FD06A4">
        <w:rPr>
          <w:lang w:val="en-US"/>
          <w:rPrChange w:id="7" w:author="Guillermo Calzada Pérez" w:date="2021-11-02T11:15:00Z">
            <w:rPr/>
          </w:rPrChange>
        </w:rPr>
        <w:instrText xml:space="preserve"> HYPERLINK "http://www.rialnet.org/?q=en/estudios" </w:instrText>
      </w:r>
      <w:r>
        <w:fldChar w:fldCharType="separate"/>
      </w:r>
      <w:r w:rsidRPr="00F22884">
        <w:rPr>
          <w:rStyle w:val="Hyperlink"/>
          <w:rFonts w:cstheme="minorHAnsi"/>
          <w:lang w:val="en-US"/>
        </w:rPr>
        <w:t>www.rialnet.org/?q=en/estudios</w:t>
      </w:r>
      <w:r>
        <w:rPr>
          <w:rStyle w:val="Hyperlink"/>
          <w:rFonts w:cstheme="minorHAnsi"/>
          <w:lang w:val="en-US"/>
        </w:rPr>
        <w:fldChar w:fldCharType="end"/>
      </w:r>
    </w:p>
  </w:footnote>
  <w:footnote w:id="4">
    <w:p w14:paraId="4833D7F6" w14:textId="51400CCE" w:rsidR="009D40DD" w:rsidRPr="004A1ACC" w:rsidRDefault="009D40DD" w:rsidP="006F7C70">
      <w:pPr>
        <w:pStyle w:val="FootnoteText"/>
        <w:spacing w:after="0" w:line="240" w:lineRule="auto"/>
        <w:rPr>
          <w:rFonts w:cstheme="minorHAnsi"/>
          <w:lang w:val="en-US"/>
        </w:rPr>
      </w:pPr>
      <w:r w:rsidRPr="00F22884">
        <w:rPr>
          <w:rStyle w:val="FootnoteReference"/>
          <w:rFonts w:cstheme="minorHAnsi"/>
          <w:lang w:val="en-US"/>
        </w:rPr>
        <w:footnoteRef/>
      </w:r>
      <w:r w:rsidRPr="00F22884">
        <w:rPr>
          <w:rFonts w:cstheme="minorHAnsi"/>
          <w:lang w:val="en-US"/>
        </w:rPr>
        <w:t xml:space="preserve"> Beijing Declaration and Platform for Action. Strategic Objective H. © United Nations 1995.</w:t>
      </w:r>
      <w:r w:rsidRPr="004A1ACC">
        <w:rPr>
          <w:rFonts w:cstheme="minorHAnsi"/>
          <w:lang w:val="en-US"/>
        </w:rPr>
        <w:t xml:space="preserve"> </w:t>
      </w:r>
    </w:p>
  </w:footnote>
  <w:footnote w:id="5">
    <w:p w14:paraId="30FBEDD8" w14:textId="5A3CACAC" w:rsidR="009D40DD" w:rsidRPr="00F22884" w:rsidRDefault="009D40DD" w:rsidP="000E13E1">
      <w:pPr>
        <w:pStyle w:val="FootnoteText"/>
        <w:spacing w:after="0" w:line="240" w:lineRule="auto"/>
        <w:rPr>
          <w:rFonts w:cstheme="minorHAnsi"/>
          <w:lang w:val="en-US"/>
        </w:rPr>
      </w:pPr>
      <w:r w:rsidRPr="006F7C70">
        <w:rPr>
          <w:rStyle w:val="FootnoteReference"/>
          <w:rFonts w:cstheme="minorHAnsi"/>
        </w:rPr>
        <w:footnoteRef/>
      </w:r>
      <w:r w:rsidRPr="004A1ACC">
        <w:rPr>
          <w:rFonts w:cstheme="minorHAnsi"/>
          <w:lang w:val="en-US"/>
        </w:rPr>
        <w:t xml:space="preserve"> </w:t>
      </w:r>
      <w:r w:rsidRPr="00F22884">
        <w:rPr>
          <w:rFonts w:cstheme="minorHAnsi"/>
          <w:lang w:val="en-US"/>
        </w:rPr>
        <w:t>Regional Conferences on Women in Latin America and the Caribbean: Mexico Consensus; Quito Consensus.</w:t>
      </w:r>
    </w:p>
  </w:footnote>
  <w:footnote w:id="6">
    <w:p w14:paraId="1DC180D0" w14:textId="5981D759" w:rsidR="009D40DD" w:rsidRPr="00F22884" w:rsidRDefault="009D40DD" w:rsidP="00D9477C">
      <w:pPr>
        <w:pStyle w:val="FootnoteText"/>
        <w:spacing w:after="0" w:line="240" w:lineRule="auto"/>
        <w:rPr>
          <w:rFonts w:ascii="Tahoma" w:hAnsi="Tahoma" w:cs="Tahoma"/>
          <w:sz w:val="18"/>
          <w:szCs w:val="18"/>
          <w:lang w:val="en-US"/>
        </w:rPr>
      </w:pPr>
      <w:r w:rsidRPr="00F22884">
        <w:rPr>
          <w:rStyle w:val="FootnoteReference"/>
          <w:rFonts w:cstheme="minorHAnsi"/>
          <w:lang w:val="en-US"/>
        </w:rPr>
        <w:footnoteRef/>
      </w:r>
      <w:r w:rsidRPr="00F22884">
        <w:rPr>
          <w:rFonts w:cstheme="minorHAnsi"/>
          <w:lang w:val="en-US"/>
        </w:rPr>
        <w:t xml:space="preserve"> The Montevideo Strategy for the Implementation of the Regional Gender Agenda within the Sustainable Development Framework by 2030 was approved in the XIII Regional Conference on Women in Latin America and the Caribbean. It was organized by the Economic Commission for Latin America and the Caribbean (ECLAC) and the Government of Uruguay, and held in Montevideo from October 25 to 28, 2016.</w:t>
      </w:r>
    </w:p>
  </w:footnote>
  <w:footnote w:id="7">
    <w:p w14:paraId="7FE50631" w14:textId="0F11C697" w:rsidR="009D40DD" w:rsidRPr="00F22884" w:rsidRDefault="009D40DD" w:rsidP="001A7F30">
      <w:pPr>
        <w:pStyle w:val="FootnoteText"/>
        <w:spacing w:line="240" w:lineRule="auto"/>
        <w:rPr>
          <w:rFonts w:cstheme="minorHAnsi"/>
          <w:color w:val="FF0000"/>
          <w:lang w:val="en-US"/>
        </w:rPr>
      </w:pPr>
      <w:r w:rsidRPr="00F22884">
        <w:rPr>
          <w:rStyle w:val="FootnoteReference"/>
          <w:rFonts w:cstheme="minorHAnsi"/>
          <w:lang w:val="en-US"/>
        </w:rPr>
        <w:footnoteRef/>
      </w:r>
      <w:r w:rsidRPr="00F22884">
        <w:rPr>
          <w:rFonts w:cstheme="minorHAnsi"/>
          <w:lang w:val="en-US"/>
        </w:rPr>
        <w:t xml:space="preserve"> “The Institutionalization of a Gender Approach in the Ministries of Labor of the Americas: Balance of a Decade” (</w:t>
      </w:r>
      <w:r w:rsidR="00BA0FFB">
        <w:fldChar w:fldCharType="begin"/>
      </w:r>
      <w:r w:rsidR="00BA0FFB" w:rsidRPr="00090095">
        <w:rPr>
          <w:lang w:val="en-US"/>
          <w:rPrChange w:id="8" w:author="Camacho, Maria Claudia" w:date="2022-06-07T08:06:00Z">
            <w:rPr/>
          </w:rPrChange>
        </w:rPr>
        <w:instrText xml:space="preserve"> HYPERLINK "http://www.rialnet.org/?q=en/estudios" </w:instrText>
      </w:r>
      <w:r w:rsidR="00BA0FFB">
        <w:fldChar w:fldCharType="separate"/>
      </w:r>
      <w:r w:rsidRPr="00F22884">
        <w:rPr>
          <w:rStyle w:val="Hyperlink"/>
          <w:rFonts w:cstheme="minorHAnsi"/>
          <w:lang w:val="en-US"/>
        </w:rPr>
        <w:t>www.rialnet.org/?q=en/estudios</w:t>
      </w:r>
      <w:r w:rsidR="00BA0FFB">
        <w:rPr>
          <w:rStyle w:val="Hyperlink"/>
          <w:rFonts w:cstheme="minorHAnsi"/>
          <w:lang w:val="en-US"/>
        </w:rPr>
        <w:fldChar w:fldCharType="end"/>
      </w:r>
      <w:r w:rsidRPr="00F22884">
        <w:rPr>
          <w:rFonts w:cstheme="minorHAnsi"/>
          <w:lang w:val="en-US"/>
        </w:rPr>
        <w:t>)</w:t>
      </w:r>
    </w:p>
  </w:footnote>
  <w:footnote w:id="8">
    <w:p w14:paraId="33690088" w14:textId="5C5D8D4E" w:rsidR="009D40DD" w:rsidRPr="00F22884" w:rsidRDefault="009D40DD" w:rsidP="005D6E34">
      <w:pPr>
        <w:pStyle w:val="FootnoteText"/>
        <w:spacing w:after="0" w:line="240" w:lineRule="auto"/>
        <w:jc w:val="both"/>
        <w:rPr>
          <w:lang w:val="en-US"/>
        </w:rPr>
      </w:pPr>
      <w:r w:rsidRPr="00F22884">
        <w:rPr>
          <w:rStyle w:val="FootnoteReference"/>
          <w:lang w:val="en-US"/>
        </w:rPr>
        <w:footnoteRef/>
      </w:r>
      <w:r w:rsidRPr="00F22884">
        <w:rPr>
          <w:lang w:val="en-US"/>
        </w:rPr>
        <w:t xml:space="preserve"> Joint resolution between the Ministry of Public Administration and the Ministry</w:t>
      </w:r>
      <w:r>
        <w:rPr>
          <w:lang w:val="en-US"/>
        </w:rPr>
        <w:t xml:space="preserve"> of Women </w:t>
      </w:r>
      <w:r w:rsidRPr="00F22884">
        <w:rPr>
          <w:lang w:val="en-US"/>
        </w:rPr>
        <w:t>that stipulates the creation of the Gender Equality Units in the public sector. The Dominican Republic, September 11, 2019</w:t>
      </w:r>
    </w:p>
  </w:footnote>
  <w:footnote w:id="9">
    <w:p w14:paraId="5DC6FD8D" w14:textId="33C226DB" w:rsidR="009D40DD" w:rsidRPr="00F22884" w:rsidRDefault="009D40DD" w:rsidP="006F7C70">
      <w:pPr>
        <w:pStyle w:val="FootnoteText"/>
        <w:spacing w:after="0" w:line="240" w:lineRule="auto"/>
        <w:jc w:val="both"/>
        <w:rPr>
          <w:lang w:val="en-US"/>
        </w:rPr>
      </w:pPr>
      <w:r w:rsidRPr="00F22884">
        <w:rPr>
          <w:rStyle w:val="FootnoteReference"/>
          <w:lang w:val="en-US"/>
        </w:rPr>
        <w:footnoteRef/>
      </w:r>
      <w:r w:rsidRPr="00F22884">
        <w:rPr>
          <w:lang w:val="en-US"/>
        </w:rPr>
        <w:t xml:space="preserve"> </w:t>
      </w:r>
      <w:r w:rsidRPr="00F22884">
        <w:rPr>
          <w:rFonts w:cstheme="minorHAnsi"/>
          <w:lang w:val="en-US"/>
        </w:rPr>
        <w:t>Creation of Gender Equality Units and the National Network of Gender Equality Units # 37906-MP-MCM President of the Republic, Minister of the Presidency, and the Minister for Women. June 20, 2013.</w:t>
      </w:r>
    </w:p>
  </w:footnote>
  <w:footnote w:id="10">
    <w:p w14:paraId="50839022" w14:textId="169188B6" w:rsidR="009D40DD" w:rsidRPr="00F22884" w:rsidRDefault="009D40DD" w:rsidP="006F7C70">
      <w:pPr>
        <w:pStyle w:val="FootnoteText"/>
        <w:spacing w:after="0" w:line="240" w:lineRule="auto"/>
        <w:jc w:val="both"/>
        <w:rPr>
          <w:lang w:val="en-US"/>
        </w:rPr>
      </w:pPr>
      <w:r w:rsidRPr="00F22884">
        <w:rPr>
          <w:rStyle w:val="FootnoteReference"/>
          <w:lang w:val="en-US"/>
        </w:rPr>
        <w:footnoteRef/>
      </w:r>
      <w:r w:rsidRPr="00F22884">
        <w:rPr>
          <w:lang w:val="en-US"/>
        </w:rPr>
        <w:t xml:space="preserve"> Gender Unit. Women’s Institute, Nuevo León, Mexico.</w:t>
      </w:r>
    </w:p>
  </w:footnote>
  <w:footnote w:id="11">
    <w:p w14:paraId="3438F95D" w14:textId="535A2B9B" w:rsidR="009D40DD" w:rsidRPr="00EF2F05" w:rsidRDefault="009D40DD" w:rsidP="000D6997">
      <w:pPr>
        <w:pStyle w:val="FootnoteText"/>
        <w:spacing w:line="240" w:lineRule="auto"/>
        <w:rPr>
          <w:lang w:val="en-US"/>
        </w:rPr>
      </w:pPr>
      <w:r w:rsidRPr="00F22884">
        <w:rPr>
          <w:rStyle w:val="FootnoteReference"/>
          <w:lang w:val="en-US"/>
        </w:rPr>
        <w:footnoteRef/>
      </w:r>
      <w:r w:rsidRPr="00F22884">
        <w:rPr>
          <w:lang w:val="en-US"/>
        </w:rPr>
        <w:t xml:space="preserve"> AGREEMENT that constitutes the Gender Equity Unit in the Secretariat of Labor and Social Welfare, Mexico, March 27, 2020.</w:t>
      </w:r>
    </w:p>
  </w:footnote>
  <w:footnote w:id="12">
    <w:p w14:paraId="74F1C4CF" w14:textId="77777777" w:rsidR="009D40DD" w:rsidRPr="00EF2F05" w:rsidRDefault="009D40DD" w:rsidP="00792C7A">
      <w:pPr>
        <w:pStyle w:val="FootnoteText"/>
        <w:spacing w:line="240" w:lineRule="auto"/>
        <w:rPr>
          <w:lang w:val="es-419"/>
        </w:rPr>
      </w:pPr>
      <w:r w:rsidRPr="00F22884">
        <w:rPr>
          <w:rStyle w:val="FootnoteReference"/>
          <w:lang w:val="en-US"/>
        </w:rPr>
        <w:footnoteRef/>
      </w:r>
      <w:r w:rsidRPr="00EF2F05">
        <w:rPr>
          <w:lang w:val="es-419"/>
        </w:rPr>
        <w:t xml:space="preserve"> file:///C:/Users/Usuario/Downloads/manual-puestos-unidad-equidad-generos-2012......pdf</w:t>
      </w:r>
    </w:p>
  </w:footnote>
  <w:footnote w:id="13">
    <w:p w14:paraId="3886D150" w14:textId="633D5645" w:rsidR="009D40DD" w:rsidRPr="00F22884" w:rsidRDefault="009D40DD" w:rsidP="000D6997">
      <w:pPr>
        <w:pStyle w:val="FootnoteText"/>
        <w:spacing w:line="240" w:lineRule="auto"/>
        <w:rPr>
          <w:lang w:val="en-US"/>
        </w:rPr>
      </w:pPr>
      <w:r w:rsidRPr="00F22884">
        <w:rPr>
          <w:rStyle w:val="FootnoteReference"/>
          <w:lang w:val="en-US"/>
        </w:rPr>
        <w:footnoteRef/>
      </w:r>
      <w:r w:rsidRPr="00F22884">
        <w:rPr>
          <w:lang w:val="en-US"/>
        </w:rPr>
        <w:t xml:space="preserve"> Training Guide “Participatory Strategic Planning with a Gender Perspective”, CIM/OAS, Washington D.C. 2011.</w:t>
      </w:r>
    </w:p>
  </w:footnote>
  <w:footnote w:id="14">
    <w:p w14:paraId="70C91495" w14:textId="2EDC3872" w:rsidR="009D40DD" w:rsidRPr="00EF2F05" w:rsidRDefault="009D40DD" w:rsidP="00DA3C5E">
      <w:pPr>
        <w:pStyle w:val="FootnoteText"/>
        <w:spacing w:line="240" w:lineRule="auto"/>
        <w:rPr>
          <w:lang w:val="en-US"/>
        </w:rPr>
      </w:pPr>
      <w:r w:rsidRPr="00F22884">
        <w:rPr>
          <w:rStyle w:val="FootnoteReference"/>
          <w:lang w:val="en-US"/>
        </w:rPr>
        <w:footnoteRef/>
      </w:r>
      <w:r w:rsidRPr="00F22884">
        <w:rPr>
          <w:lang w:val="en-US"/>
        </w:rPr>
        <w:t xml:space="preserve"> Based on the work with delegations of the Ministries of Labor: Workshop on Gender Mainstreaming in the Ministries of Labor of the Americas. Inter-American Network for Labor Administration (RIAL). Buenos Aires, July 21, 2009.</w:t>
      </w:r>
    </w:p>
  </w:footnote>
  <w:footnote w:id="15">
    <w:p w14:paraId="667959F5" w14:textId="49C2C342" w:rsidR="009D40DD" w:rsidRPr="00F22884" w:rsidRDefault="009D40DD" w:rsidP="005D51A5">
      <w:pPr>
        <w:pStyle w:val="FootnoteText"/>
        <w:rPr>
          <w:lang w:val="en-US"/>
        </w:rPr>
      </w:pPr>
      <w:r w:rsidRPr="00F22884">
        <w:rPr>
          <w:rStyle w:val="FootnoteReference"/>
          <w:lang w:val="en-US"/>
        </w:rPr>
        <w:footnoteRef/>
      </w:r>
      <w:r w:rsidRPr="00F22884">
        <w:rPr>
          <w:lang w:val="en-US"/>
        </w:rPr>
        <w:t xml:space="preserve"> Some functions have been adapted from: a) Model for the creation of gender units in the Public State Administration for the Government of the State of Sonora. November 2021; b) Creation of Gender Equality Units and the National Network of Gender Equality Units # 37906-MP-MCM Costa Rica (http://www.pgrweb.go.cr/scij/Busqueda/Normativa/Normas/nrm_texto_completo.aspx?param1=NRTC&amp;nValor1=1&amp;nValor2=75718&amp;nValor3=94023&amp;strTipM=TC); c) Functions related to Labor Equity with a Gender Approach. Ministry of Labor of Colombia. (https://www.mintrabajo.gov.co/el-ministerio/grupo-interno-de-trabajo-para-las-victimas-y-la-equidad-laboral-con-enfoque-de-genero/equidad-laboral-con-enfoque-de-genero); d) AGREEMENT that constitutes the Gender Equality Unit in the Secretariat of Labor and Social Welfare. Mexico. (http://www.dof.gob.mx/nota_detalle.php?codigo=5590606&amp;fecha=27/03/2020); e) Manual for the Job Descriptions of the Gender Equality Unit. Office of Institutional Coordination and Development. Ministry of Labor and Social Security, El Salvador (file:///C:/Users/Usuario/Downloads/manual-puestos-unidad-equidad-generos-2012......pdf)</w:t>
      </w:r>
    </w:p>
  </w:footnote>
  <w:footnote w:id="16">
    <w:p w14:paraId="41316EFB" w14:textId="356310E3" w:rsidR="009D40DD" w:rsidRPr="00F22884" w:rsidRDefault="009D40DD" w:rsidP="00B929A0">
      <w:pPr>
        <w:pStyle w:val="FootnoteText"/>
        <w:spacing w:after="0" w:line="240" w:lineRule="auto"/>
        <w:rPr>
          <w:lang w:val="en-US"/>
        </w:rPr>
      </w:pPr>
      <w:r w:rsidRPr="00F22884">
        <w:rPr>
          <w:rStyle w:val="FootnoteReference"/>
          <w:lang w:val="en-US"/>
        </w:rPr>
        <w:footnoteRef/>
      </w:r>
      <w:r w:rsidRPr="00F22884">
        <w:rPr>
          <w:lang w:val="en-US"/>
        </w:rPr>
        <w:t xml:space="preserve"> Training Guide “Participatory Strategic Planning with a Gender Perspective”, CIM/OAS, Washington D.C. 2011.</w:t>
      </w:r>
    </w:p>
  </w:footnote>
  <w:footnote w:id="17">
    <w:p w14:paraId="351346AB" w14:textId="0C16A2CF" w:rsidR="009D40DD" w:rsidRPr="00EF2F05" w:rsidRDefault="009D40DD" w:rsidP="00234E7D">
      <w:pPr>
        <w:tabs>
          <w:tab w:val="left" w:pos="720"/>
        </w:tabs>
        <w:spacing w:before="0" w:after="0" w:line="240" w:lineRule="auto"/>
        <w:jc w:val="both"/>
        <w:rPr>
          <w:rFonts w:cstheme="minorHAnsi"/>
          <w:lang w:val="en-US"/>
        </w:rPr>
      </w:pPr>
      <w:r w:rsidRPr="00F22884">
        <w:rPr>
          <w:rStyle w:val="FootnoteReference"/>
          <w:rFonts w:cstheme="minorHAnsi"/>
          <w:lang w:val="en-US"/>
        </w:rPr>
        <w:t xml:space="preserve"> </w:t>
      </w:r>
      <w:r w:rsidRPr="00F22884">
        <w:rPr>
          <w:rStyle w:val="FootnoteReference"/>
          <w:rFonts w:cstheme="minorHAnsi"/>
          <w:lang w:val="en-US"/>
        </w:rPr>
        <w:footnoteRef/>
      </w:r>
      <w:r w:rsidRPr="00F22884">
        <w:rPr>
          <w:rFonts w:cstheme="minorHAnsi"/>
          <w:lang w:val="en-US"/>
        </w:rPr>
        <w:t xml:space="preserve"> Participatory Gender Audits were conducted in the framework of the Program for Institutional Strengthening of the Ministries of Labor of the America, undertaken by the Department of Social Development and Employment of the OAS (DSDE) and the RIAL, the Inter-American Commission of Women (CIM), with the support of the Canadian government and in partnership with the International Labour Organization (ILO). These took place in the Ministries of Labor of the El Salvador, Barbados, and Peru between 2012 and 2013. The results included Plans of Action to improve the incorporation of a gender approach in the policies, programs, and public opinion.</w:t>
      </w:r>
      <w:r w:rsidRPr="00EF2F05">
        <w:rPr>
          <w:rFonts w:cstheme="minorHAnsi"/>
          <w:sz w:val="18"/>
          <w:szCs w:val="18"/>
          <w:lang w:val="en-US"/>
        </w:rPr>
        <w:t xml:space="preserve"> </w:t>
      </w:r>
    </w:p>
  </w:footnote>
  <w:footnote w:id="18">
    <w:p w14:paraId="1D5C090B" w14:textId="49B01B19" w:rsidR="005A235B" w:rsidRPr="005A235B" w:rsidRDefault="005A235B">
      <w:pPr>
        <w:pStyle w:val="FootnoteText"/>
        <w:rPr>
          <w:lang w:val="en-US"/>
        </w:rPr>
      </w:pPr>
      <w:r>
        <w:rPr>
          <w:rStyle w:val="FootnoteReference"/>
        </w:rPr>
        <w:footnoteRef/>
      </w:r>
      <w:r w:rsidRPr="005A235B">
        <w:rPr>
          <w:lang w:val="en-US"/>
        </w:rPr>
        <w:t xml:space="preserve"> </w:t>
      </w:r>
      <w:r>
        <w:rPr>
          <w:lang w:val="en-US"/>
        </w:rPr>
        <w:t xml:space="preserve">Each Gender Unit and Ministry </w:t>
      </w:r>
      <w:r w:rsidR="00FB1A4B">
        <w:rPr>
          <w:lang w:val="en-US"/>
        </w:rPr>
        <w:t xml:space="preserve">must define which entities </w:t>
      </w:r>
      <w:proofErr w:type="gramStart"/>
      <w:r w:rsidR="00FB1A4B">
        <w:rPr>
          <w:lang w:val="en-US"/>
        </w:rPr>
        <w:t>are in charge of</w:t>
      </w:r>
      <w:proofErr w:type="gramEnd"/>
      <w:r w:rsidR="00FB1A4B">
        <w:rPr>
          <w:lang w:val="en-US"/>
        </w:rPr>
        <w:t xml:space="preserve"> and which ones provide support to each activity.</w:t>
      </w:r>
    </w:p>
  </w:footnote>
  <w:footnote w:id="19">
    <w:p w14:paraId="2E6765DC" w14:textId="009BE066" w:rsidR="009D40DD" w:rsidRPr="00F22884" w:rsidRDefault="009D40DD">
      <w:pPr>
        <w:pStyle w:val="FootnoteText"/>
        <w:rPr>
          <w:lang w:val="en-US"/>
        </w:rPr>
      </w:pPr>
      <w:r w:rsidRPr="00F22884">
        <w:rPr>
          <w:rStyle w:val="FootnoteReference"/>
          <w:lang w:val="en-US"/>
        </w:rPr>
        <w:footnoteRef/>
      </w:r>
      <w:r w:rsidRPr="00F22884">
        <w:rPr>
          <w:lang w:val="en-US"/>
        </w:rPr>
        <w:t xml:space="preserve"> Short term refers to one year; medium term between two or three years; and long term refers to three or more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562"/>
    <w:multiLevelType w:val="hybridMultilevel"/>
    <w:tmpl w:val="612AFB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6C13CB6"/>
    <w:multiLevelType w:val="multilevel"/>
    <w:tmpl w:val="0BF2B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F2852"/>
    <w:multiLevelType w:val="multilevel"/>
    <w:tmpl w:val="0BF2BD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58A7CFD"/>
    <w:multiLevelType w:val="hybridMultilevel"/>
    <w:tmpl w:val="782A51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18DE3C81"/>
    <w:multiLevelType w:val="hybridMultilevel"/>
    <w:tmpl w:val="F85EF6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4658C4"/>
    <w:multiLevelType w:val="hybridMultilevel"/>
    <w:tmpl w:val="40B00C8A"/>
    <w:lvl w:ilvl="0" w:tplc="0C0A0001">
      <w:start w:val="1"/>
      <w:numFmt w:val="bullet"/>
      <w:lvlText w:val=""/>
      <w:lvlJc w:val="left"/>
      <w:pPr>
        <w:ind w:left="360" w:hanging="360"/>
      </w:pPr>
      <w:rPr>
        <w:rFonts w:ascii="Symbol" w:hAnsi="Symbol" w:hint="default"/>
      </w:rPr>
    </w:lvl>
    <w:lvl w:ilvl="1" w:tplc="6E646DF2">
      <w:start w:val="1"/>
      <w:numFmt w:val="decimal"/>
      <w:lvlText w:val="%2."/>
      <w:lvlJc w:val="left"/>
      <w:pPr>
        <w:ind w:left="1425" w:hanging="70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9375BE2"/>
    <w:multiLevelType w:val="hybridMultilevel"/>
    <w:tmpl w:val="4E4E8FCE"/>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98C169C"/>
    <w:multiLevelType w:val="hybridMultilevel"/>
    <w:tmpl w:val="FAD8E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91E96"/>
    <w:multiLevelType w:val="hybridMultilevel"/>
    <w:tmpl w:val="429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B2F62"/>
    <w:multiLevelType w:val="hybridMultilevel"/>
    <w:tmpl w:val="EBE675DA"/>
    <w:lvl w:ilvl="0" w:tplc="CFB88294">
      <w:start w:val="1"/>
      <w:numFmt w:val="bullet"/>
      <w:lvlText w:val="-"/>
      <w:lvlJc w:val="left"/>
      <w:pPr>
        <w:ind w:left="720" w:hanging="360"/>
      </w:pPr>
      <w:rPr>
        <w:rFonts w:ascii="STKaiti" w:eastAsia="STKaiti" w:hAnsi="STKait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D50D32"/>
    <w:multiLevelType w:val="hybridMultilevel"/>
    <w:tmpl w:val="C99265BE"/>
    <w:lvl w:ilvl="0" w:tplc="CFB88294">
      <w:start w:val="1"/>
      <w:numFmt w:val="bullet"/>
      <w:lvlText w:val="-"/>
      <w:lvlJc w:val="left"/>
      <w:pPr>
        <w:ind w:left="360" w:hanging="360"/>
      </w:pPr>
      <w:rPr>
        <w:rFonts w:ascii="STKaiti" w:eastAsia="STKaiti" w:hAnsi="STKaiti"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4F664CF1"/>
    <w:multiLevelType w:val="multilevel"/>
    <w:tmpl w:val="5C909780"/>
    <w:styleLink w:val="Estilo1"/>
    <w:lvl w:ilvl="0">
      <w:start w:val="2"/>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5A250F9B"/>
    <w:multiLevelType w:val="multilevel"/>
    <w:tmpl w:val="8782F78E"/>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62F17DCE"/>
    <w:multiLevelType w:val="hybridMultilevel"/>
    <w:tmpl w:val="89AC0C26"/>
    <w:lvl w:ilvl="0" w:tplc="69AC5A4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32402B"/>
    <w:multiLevelType w:val="hybridMultilevel"/>
    <w:tmpl w:val="D03C3B88"/>
    <w:lvl w:ilvl="0" w:tplc="CFB88294">
      <w:start w:val="1"/>
      <w:numFmt w:val="bullet"/>
      <w:lvlText w:val="-"/>
      <w:lvlJc w:val="left"/>
      <w:pPr>
        <w:ind w:left="720" w:hanging="360"/>
      </w:pPr>
      <w:rPr>
        <w:rFonts w:ascii="STKaiti" w:eastAsia="STKaiti" w:hAnsi="STKaiti"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7075121"/>
    <w:multiLevelType w:val="hybridMultilevel"/>
    <w:tmpl w:val="704C8B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71481D72"/>
    <w:multiLevelType w:val="multilevel"/>
    <w:tmpl w:val="A07AD1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D002D28"/>
    <w:multiLevelType w:val="multilevel"/>
    <w:tmpl w:val="1316B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293951417">
    <w:abstractNumId w:val="4"/>
  </w:num>
  <w:num w:numId="2" w16cid:durableId="1319771299">
    <w:abstractNumId w:val="5"/>
  </w:num>
  <w:num w:numId="3" w16cid:durableId="257563255">
    <w:abstractNumId w:val="13"/>
  </w:num>
  <w:num w:numId="4" w16cid:durableId="1866745701">
    <w:abstractNumId w:val="11"/>
  </w:num>
  <w:num w:numId="5" w16cid:durableId="1769348083">
    <w:abstractNumId w:val="12"/>
  </w:num>
  <w:num w:numId="6" w16cid:durableId="1002439215">
    <w:abstractNumId w:val="0"/>
  </w:num>
  <w:num w:numId="7" w16cid:durableId="197400541">
    <w:abstractNumId w:val="15"/>
  </w:num>
  <w:num w:numId="8" w16cid:durableId="118576050">
    <w:abstractNumId w:val="9"/>
  </w:num>
  <w:num w:numId="9" w16cid:durableId="1763260808">
    <w:abstractNumId w:val="6"/>
  </w:num>
  <w:num w:numId="10" w16cid:durableId="545960">
    <w:abstractNumId w:val="2"/>
  </w:num>
  <w:num w:numId="11" w16cid:durableId="1610623324">
    <w:abstractNumId w:val="1"/>
  </w:num>
  <w:num w:numId="12" w16cid:durableId="2034187568">
    <w:abstractNumId w:val="17"/>
  </w:num>
  <w:num w:numId="13" w16cid:durableId="1304848567">
    <w:abstractNumId w:val="16"/>
  </w:num>
  <w:num w:numId="14" w16cid:durableId="1566525581">
    <w:abstractNumId w:val="10"/>
  </w:num>
  <w:num w:numId="15" w16cid:durableId="1851286219">
    <w:abstractNumId w:val="14"/>
  </w:num>
  <w:num w:numId="16" w16cid:durableId="1114518175">
    <w:abstractNumId w:val="3"/>
  </w:num>
  <w:num w:numId="17" w16cid:durableId="409236539">
    <w:abstractNumId w:val="8"/>
  </w:num>
  <w:num w:numId="18" w16cid:durableId="1886288392">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acho, Maria Claudia">
    <w15:presenceInfo w15:providerId="AD" w15:userId="S::MCamacho@oas.org::ca4b319e-f681-431e-9519-e0d234625959"/>
  </w15:person>
  <w15:person w15:author="Lorena Hillon">
    <w15:presenceInfo w15:providerId="Windows Live" w15:userId="7c285edaa65af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E3"/>
    <w:rsid w:val="0000194C"/>
    <w:rsid w:val="00002150"/>
    <w:rsid w:val="00003DE0"/>
    <w:rsid w:val="000049E1"/>
    <w:rsid w:val="00010454"/>
    <w:rsid w:val="00011829"/>
    <w:rsid w:val="0001449E"/>
    <w:rsid w:val="00016B6E"/>
    <w:rsid w:val="000172A9"/>
    <w:rsid w:val="00024438"/>
    <w:rsid w:val="00024908"/>
    <w:rsid w:val="00030590"/>
    <w:rsid w:val="00034405"/>
    <w:rsid w:val="00036B38"/>
    <w:rsid w:val="00043541"/>
    <w:rsid w:val="0005119C"/>
    <w:rsid w:val="00052844"/>
    <w:rsid w:val="00057BA8"/>
    <w:rsid w:val="00060065"/>
    <w:rsid w:val="000621CC"/>
    <w:rsid w:val="000621E6"/>
    <w:rsid w:val="00063B49"/>
    <w:rsid w:val="00064780"/>
    <w:rsid w:val="00065B9D"/>
    <w:rsid w:val="00067EEC"/>
    <w:rsid w:val="000701F2"/>
    <w:rsid w:val="00074383"/>
    <w:rsid w:val="000760D7"/>
    <w:rsid w:val="00080D5C"/>
    <w:rsid w:val="00081138"/>
    <w:rsid w:val="00082DA3"/>
    <w:rsid w:val="00083012"/>
    <w:rsid w:val="00083F1D"/>
    <w:rsid w:val="0008559C"/>
    <w:rsid w:val="00090095"/>
    <w:rsid w:val="000918AB"/>
    <w:rsid w:val="00094282"/>
    <w:rsid w:val="00096361"/>
    <w:rsid w:val="00096697"/>
    <w:rsid w:val="000B0849"/>
    <w:rsid w:val="000B1E10"/>
    <w:rsid w:val="000B4F5D"/>
    <w:rsid w:val="000B6748"/>
    <w:rsid w:val="000C0B05"/>
    <w:rsid w:val="000C1872"/>
    <w:rsid w:val="000C3C7A"/>
    <w:rsid w:val="000C3F85"/>
    <w:rsid w:val="000C48C5"/>
    <w:rsid w:val="000C5A40"/>
    <w:rsid w:val="000C6C3E"/>
    <w:rsid w:val="000D1BE5"/>
    <w:rsid w:val="000D3A7D"/>
    <w:rsid w:val="000D3C19"/>
    <w:rsid w:val="000D6997"/>
    <w:rsid w:val="000D7150"/>
    <w:rsid w:val="000E13E1"/>
    <w:rsid w:val="000E21D4"/>
    <w:rsid w:val="000E283F"/>
    <w:rsid w:val="000E28CC"/>
    <w:rsid w:val="000E33CE"/>
    <w:rsid w:val="000E3544"/>
    <w:rsid w:val="000E5A19"/>
    <w:rsid w:val="000F1087"/>
    <w:rsid w:val="000F1DEC"/>
    <w:rsid w:val="000F302B"/>
    <w:rsid w:val="000F370A"/>
    <w:rsid w:val="000F4DB5"/>
    <w:rsid w:val="000F6DAE"/>
    <w:rsid w:val="00101CCB"/>
    <w:rsid w:val="00104617"/>
    <w:rsid w:val="0010542F"/>
    <w:rsid w:val="00106E14"/>
    <w:rsid w:val="001101BD"/>
    <w:rsid w:val="001114CD"/>
    <w:rsid w:val="00112EE1"/>
    <w:rsid w:val="001137CC"/>
    <w:rsid w:val="00117515"/>
    <w:rsid w:val="00120CB2"/>
    <w:rsid w:val="00126B29"/>
    <w:rsid w:val="001279B2"/>
    <w:rsid w:val="001310FF"/>
    <w:rsid w:val="001318E8"/>
    <w:rsid w:val="0013514E"/>
    <w:rsid w:val="00136490"/>
    <w:rsid w:val="00140A85"/>
    <w:rsid w:val="001417DA"/>
    <w:rsid w:val="00142D4E"/>
    <w:rsid w:val="001450EA"/>
    <w:rsid w:val="001501E7"/>
    <w:rsid w:val="00151638"/>
    <w:rsid w:val="001541C7"/>
    <w:rsid w:val="00162034"/>
    <w:rsid w:val="00163E7D"/>
    <w:rsid w:val="00165666"/>
    <w:rsid w:val="00165DD2"/>
    <w:rsid w:val="00173AFA"/>
    <w:rsid w:val="00177595"/>
    <w:rsid w:val="001807BA"/>
    <w:rsid w:val="0018278F"/>
    <w:rsid w:val="00185E8F"/>
    <w:rsid w:val="001908C2"/>
    <w:rsid w:val="00190A9A"/>
    <w:rsid w:val="00191BB9"/>
    <w:rsid w:val="001939B2"/>
    <w:rsid w:val="001945A8"/>
    <w:rsid w:val="001950E8"/>
    <w:rsid w:val="001A4DAD"/>
    <w:rsid w:val="001A7F30"/>
    <w:rsid w:val="001B0B97"/>
    <w:rsid w:val="001B1BB2"/>
    <w:rsid w:val="001B2A27"/>
    <w:rsid w:val="001C202B"/>
    <w:rsid w:val="001C58CE"/>
    <w:rsid w:val="001C60DD"/>
    <w:rsid w:val="001C79DB"/>
    <w:rsid w:val="001D2CB2"/>
    <w:rsid w:val="001D3478"/>
    <w:rsid w:val="001D3658"/>
    <w:rsid w:val="001D4078"/>
    <w:rsid w:val="001D454A"/>
    <w:rsid w:val="001D74B8"/>
    <w:rsid w:val="001E0FBC"/>
    <w:rsid w:val="001E26A8"/>
    <w:rsid w:val="001E2963"/>
    <w:rsid w:val="001E2DE9"/>
    <w:rsid w:val="001E35B4"/>
    <w:rsid w:val="001E480D"/>
    <w:rsid w:val="001E7DA7"/>
    <w:rsid w:val="001F081B"/>
    <w:rsid w:val="001F17A3"/>
    <w:rsid w:val="001F31DC"/>
    <w:rsid w:val="001F3BC4"/>
    <w:rsid w:val="001F42C8"/>
    <w:rsid w:val="001F5669"/>
    <w:rsid w:val="001F5781"/>
    <w:rsid w:val="001F58C1"/>
    <w:rsid w:val="00202FE0"/>
    <w:rsid w:val="0021183C"/>
    <w:rsid w:val="00212B4B"/>
    <w:rsid w:val="002206E5"/>
    <w:rsid w:val="00225C9C"/>
    <w:rsid w:val="00225DF8"/>
    <w:rsid w:val="00230472"/>
    <w:rsid w:val="00230C37"/>
    <w:rsid w:val="002344D4"/>
    <w:rsid w:val="00234E7D"/>
    <w:rsid w:val="00235B3E"/>
    <w:rsid w:val="0023632B"/>
    <w:rsid w:val="00236432"/>
    <w:rsid w:val="002412EE"/>
    <w:rsid w:val="002415E1"/>
    <w:rsid w:val="00244075"/>
    <w:rsid w:val="00245AA1"/>
    <w:rsid w:val="00251CFB"/>
    <w:rsid w:val="00252280"/>
    <w:rsid w:val="00252F1B"/>
    <w:rsid w:val="00260668"/>
    <w:rsid w:val="00271818"/>
    <w:rsid w:val="0027543D"/>
    <w:rsid w:val="0027660F"/>
    <w:rsid w:val="002811FF"/>
    <w:rsid w:val="002826AC"/>
    <w:rsid w:val="00282A86"/>
    <w:rsid w:val="002860AE"/>
    <w:rsid w:val="0029071A"/>
    <w:rsid w:val="00291ED8"/>
    <w:rsid w:val="00292F66"/>
    <w:rsid w:val="002A1C65"/>
    <w:rsid w:val="002A2211"/>
    <w:rsid w:val="002A2EF8"/>
    <w:rsid w:val="002A51E7"/>
    <w:rsid w:val="002A5415"/>
    <w:rsid w:val="002A5C3E"/>
    <w:rsid w:val="002A7428"/>
    <w:rsid w:val="002A7E3C"/>
    <w:rsid w:val="002B05B2"/>
    <w:rsid w:val="002B3699"/>
    <w:rsid w:val="002B44D2"/>
    <w:rsid w:val="002C049A"/>
    <w:rsid w:val="002C0D9A"/>
    <w:rsid w:val="002C3C47"/>
    <w:rsid w:val="002C5347"/>
    <w:rsid w:val="002C59B0"/>
    <w:rsid w:val="002C7D43"/>
    <w:rsid w:val="002D4CAB"/>
    <w:rsid w:val="002D53C9"/>
    <w:rsid w:val="002D6C42"/>
    <w:rsid w:val="002D7798"/>
    <w:rsid w:val="002E040A"/>
    <w:rsid w:val="002E174A"/>
    <w:rsid w:val="002E2BB2"/>
    <w:rsid w:val="002E2FF6"/>
    <w:rsid w:val="002E3B83"/>
    <w:rsid w:val="002E6174"/>
    <w:rsid w:val="002E6718"/>
    <w:rsid w:val="002F11C3"/>
    <w:rsid w:val="002F1468"/>
    <w:rsid w:val="002F3F3D"/>
    <w:rsid w:val="002F466E"/>
    <w:rsid w:val="002F57F2"/>
    <w:rsid w:val="002F5EE8"/>
    <w:rsid w:val="002F7D86"/>
    <w:rsid w:val="00301925"/>
    <w:rsid w:val="00312B35"/>
    <w:rsid w:val="00314294"/>
    <w:rsid w:val="00316893"/>
    <w:rsid w:val="00325AEC"/>
    <w:rsid w:val="00331EE7"/>
    <w:rsid w:val="00333D04"/>
    <w:rsid w:val="00333E71"/>
    <w:rsid w:val="00334168"/>
    <w:rsid w:val="00334E0E"/>
    <w:rsid w:val="00336AE1"/>
    <w:rsid w:val="0034123D"/>
    <w:rsid w:val="003426C9"/>
    <w:rsid w:val="00346980"/>
    <w:rsid w:val="00347A49"/>
    <w:rsid w:val="00351483"/>
    <w:rsid w:val="00354E90"/>
    <w:rsid w:val="00355A62"/>
    <w:rsid w:val="00356702"/>
    <w:rsid w:val="00360122"/>
    <w:rsid w:val="00360881"/>
    <w:rsid w:val="0036481A"/>
    <w:rsid w:val="00365CCF"/>
    <w:rsid w:val="0037045B"/>
    <w:rsid w:val="00372E0D"/>
    <w:rsid w:val="003735F1"/>
    <w:rsid w:val="00374A08"/>
    <w:rsid w:val="00377E3B"/>
    <w:rsid w:val="00377ED8"/>
    <w:rsid w:val="00380CD1"/>
    <w:rsid w:val="00380D4E"/>
    <w:rsid w:val="00383CD7"/>
    <w:rsid w:val="0038426B"/>
    <w:rsid w:val="00385503"/>
    <w:rsid w:val="00386599"/>
    <w:rsid w:val="00393497"/>
    <w:rsid w:val="00393E15"/>
    <w:rsid w:val="003964CC"/>
    <w:rsid w:val="003966A0"/>
    <w:rsid w:val="00397324"/>
    <w:rsid w:val="00397B57"/>
    <w:rsid w:val="003A550F"/>
    <w:rsid w:val="003A6CD7"/>
    <w:rsid w:val="003B005B"/>
    <w:rsid w:val="003B1FF7"/>
    <w:rsid w:val="003B3BC8"/>
    <w:rsid w:val="003B5516"/>
    <w:rsid w:val="003B5EA8"/>
    <w:rsid w:val="003B7097"/>
    <w:rsid w:val="003B749A"/>
    <w:rsid w:val="003B7F9C"/>
    <w:rsid w:val="003C0951"/>
    <w:rsid w:val="003C19FB"/>
    <w:rsid w:val="003C2434"/>
    <w:rsid w:val="003C3D54"/>
    <w:rsid w:val="003C7A4B"/>
    <w:rsid w:val="003C7E01"/>
    <w:rsid w:val="003D0790"/>
    <w:rsid w:val="003D08B9"/>
    <w:rsid w:val="003D31AB"/>
    <w:rsid w:val="003D3691"/>
    <w:rsid w:val="003E165D"/>
    <w:rsid w:val="003E2EFC"/>
    <w:rsid w:val="003E4C00"/>
    <w:rsid w:val="003E577E"/>
    <w:rsid w:val="003E6188"/>
    <w:rsid w:val="003E686F"/>
    <w:rsid w:val="003F28D9"/>
    <w:rsid w:val="003F31D8"/>
    <w:rsid w:val="003F4F50"/>
    <w:rsid w:val="003F53F3"/>
    <w:rsid w:val="003F7409"/>
    <w:rsid w:val="0040298E"/>
    <w:rsid w:val="00402BE2"/>
    <w:rsid w:val="00403B35"/>
    <w:rsid w:val="00404080"/>
    <w:rsid w:val="00404623"/>
    <w:rsid w:val="0040510C"/>
    <w:rsid w:val="00405583"/>
    <w:rsid w:val="00413FEF"/>
    <w:rsid w:val="00417CB1"/>
    <w:rsid w:val="00417D64"/>
    <w:rsid w:val="0042185B"/>
    <w:rsid w:val="00424A4D"/>
    <w:rsid w:val="00424FD8"/>
    <w:rsid w:val="00425493"/>
    <w:rsid w:val="004269C8"/>
    <w:rsid w:val="0043330F"/>
    <w:rsid w:val="00436C2F"/>
    <w:rsid w:val="004377AC"/>
    <w:rsid w:val="00440CE2"/>
    <w:rsid w:val="00441B78"/>
    <w:rsid w:val="00442513"/>
    <w:rsid w:val="004470A5"/>
    <w:rsid w:val="004503C4"/>
    <w:rsid w:val="0045311B"/>
    <w:rsid w:val="0045372D"/>
    <w:rsid w:val="0045633F"/>
    <w:rsid w:val="00461AB7"/>
    <w:rsid w:val="00463F26"/>
    <w:rsid w:val="00465B1E"/>
    <w:rsid w:val="00466B58"/>
    <w:rsid w:val="00472AAE"/>
    <w:rsid w:val="00480DFB"/>
    <w:rsid w:val="004845AD"/>
    <w:rsid w:val="00485DAD"/>
    <w:rsid w:val="00486D8A"/>
    <w:rsid w:val="00486EE3"/>
    <w:rsid w:val="004871F8"/>
    <w:rsid w:val="00487C3E"/>
    <w:rsid w:val="004928E4"/>
    <w:rsid w:val="00494A98"/>
    <w:rsid w:val="004A1ACC"/>
    <w:rsid w:val="004A1FF1"/>
    <w:rsid w:val="004A2D46"/>
    <w:rsid w:val="004A4F34"/>
    <w:rsid w:val="004B032E"/>
    <w:rsid w:val="004B117E"/>
    <w:rsid w:val="004B1FB7"/>
    <w:rsid w:val="004B52C1"/>
    <w:rsid w:val="004C1605"/>
    <w:rsid w:val="004C4B3B"/>
    <w:rsid w:val="004C546B"/>
    <w:rsid w:val="004D0CEC"/>
    <w:rsid w:val="004D394F"/>
    <w:rsid w:val="004D5E7A"/>
    <w:rsid w:val="004D63DB"/>
    <w:rsid w:val="004E2877"/>
    <w:rsid w:val="004E45E7"/>
    <w:rsid w:val="004E573A"/>
    <w:rsid w:val="004E71B6"/>
    <w:rsid w:val="004F0330"/>
    <w:rsid w:val="004F3190"/>
    <w:rsid w:val="00500FA0"/>
    <w:rsid w:val="005032F0"/>
    <w:rsid w:val="0050454C"/>
    <w:rsid w:val="005064F3"/>
    <w:rsid w:val="0051038B"/>
    <w:rsid w:val="00513112"/>
    <w:rsid w:val="00514F7E"/>
    <w:rsid w:val="00517932"/>
    <w:rsid w:val="00517FC9"/>
    <w:rsid w:val="0052126E"/>
    <w:rsid w:val="00523C22"/>
    <w:rsid w:val="0052539F"/>
    <w:rsid w:val="00526CD4"/>
    <w:rsid w:val="0053088A"/>
    <w:rsid w:val="00530CB4"/>
    <w:rsid w:val="00536CED"/>
    <w:rsid w:val="0053770B"/>
    <w:rsid w:val="00545FBA"/>
    <w:rsid w:val="00546426"/>
    <w:rsid w:val="005476C0"/>
    <w:rsid w:val="0055351D"/>
    <w:rsid w:val="00554D81"/>
    <w:rsid w:val="005552B6"/>
    <w:rsid w:val="00555D31"/>
    <w:rsid w:val="00561F08"/>
    <w:rsid w:val="0056359F"/>
    <w:rsid w:val="00564199"/>
    <w:rsid w:val="00564930"/>
    <w:rsid w:val="00572410"/>
    <w:rsid w:val="00572C00"/>
    <w:rsid w:val="00573241"/>
    <w:rsid w:val="0057420D"/>
    <w:rsid w:val="00574830"/>
    <w:rsid w:val="00575E63"/>
    <w:rsid w:val="0057762B"/>
    <w:rsid w:val="00581549"/>
    <w:rsid w:val="00583533"/>
    <w:rsid w:val="00585B88"/>
    <w:rsid w:val="005863EE"/>
    <w:rsid w:val="0058755A"/>
    <w:rsid w:val="0059082C"/>
    <w:rsid w:val="00594AD8"/>
    <w:rsid w:val="00597372"/>
    <w:rsid w:val="005A235B"/>
    <w:rsid w:val="005A2D53"/>
    <w:rsid w:val="005B37A2"/>
    <w:rsid w:val="005B3F5C"/>
    <w:rsid w:val="005B4778"/>
    <w:rsid w:val="005B6732"/>
    <w:rsid w:val="005B6C56"/>
    <w:rsid w:val="005B71DC"/>
    <w:rsid w:val="005C045C"/>
    <w:rsid w:val="005C12E7"/>
    <w:rsid w:val="005C6043"/>
    <w:rsid w:val="005C60E3"/>
    <w:rsid w:val="005C632E"/>
    <w:rsid w:val="005D0E8F"/>
    <w:rsid w:val="005D1C56"/>
    <w:rsid w:val="005D51A5"/>
    <w:rsid w:val="005D5A2B"/>
    <w:rsid w:val="005D6883"/>
    <w:rsid w:val="005D6E34"/>
    <w:rsid w:val="005E0D87"/>
    <w:rsid w:val="005E0EA3"/>
    <w:rsid w:val="005E194F"/>
    <w:rsid w:val="005E27F0"/>
    <w:rsid w:val="005E3E9B"/>
    <w:rsid w:val="005E3F0C"/>
    <w:rsid w:val="005E5E31"/>
    <w:rsid w:val="005E6407"/>
    <w:rsid w:val="005F003F"/>
    <w:rsid w:val="005F1B48"/>
    <w:rsid w:val="005F3497"/>
    <w:rsid w:val="005F395D"/>
    <w:rsid w:val="005F416F"/>
    <w:rsid w:val="005F724D"/>
    <w:rsid w:val="005F72D5"/>
    <w:rsid w:val="00601B9F"/>
    <w:rsid w:val="00601C1A"/>
    <w:rsid w:val="00602074"/>
    <w:rsid w:val="00602BA1"/>
    <w:rsid w:val="0060536F"/>
    <w:rsid w:val="00607666"/>
    <w:rsid w:val="00610F60"/>
    <w:rsid w:val="006123C9"/>
    <w:rsid w:val="00615AB1"/>
    <w:rsid w:val="00620D27"/>
    <w:rsid w:val="0062399A"/>
    <w:rsid w:val="00624220"/>
    <w:rsid w:val="00624A22"/>
    <w:rsid w:val="00627C67"/>
    <w:rsid w:val="006333B0"/>
    <w:rsid w:val="006443A3"/>
    <w:rsid w:val="0064692F"/>
    <w:rsid w:val="0065047E"/>
    <w:rsid w:val="006530EC"/>
    <w:rsid w:val="00655D91"/>
    <w:rsid w:val="006601B3"/>
    <w:rsid w:val="006605F8"/>
    <w:rsid w:val="00662649"/>
    <w:rsid w:val="0066428D"/>
    <w:rsid w:val="006644CD"/>
    <w:rsid w:val="00664AE6"/>
    <w:rsid w:val="0066560A"/>
    <w:rsid w:val="0066664E"/>
    <w:rsid w:val="00670BB6"/>
    <w:rsid w:val="00680375"/>
    <w:rsid w:val="00685DAA"/>
    <w:rsid w:val="00686A42"/>
    <w:rsid w:val="00686BBB"/>
    <w:rsid w:val="00686C62"/>
    <w:rsid w:val="00687FDD"/>
    <w:rsid w:val="00690A3B"/>
    <w:rsid w:val="006923A7"/>
    <w:rsid w:val="00692DCE"/>
    <w:rsid w:val="00693878"/>
    <w:rsid w:val="00694A62"/>
    <w:rsid w:val="006962F2"/>
    <w:rsid w:val="006A0DC1"/>
    <w:rsid w:val="006A19A0"/>
    <w:rsid w:val="006A1AF0"/>
    <w:rsid w:val="006A3B93"/>
    <w:rsid w:val="006A3FC1"/>
    <w:rsid w:val="006A54B3"/>
    <w:rsid w:val="006A75F2"/>
    <w:rsid w:val="006A778D"/>
    <w:rsid w:val="006B0316"/>
    <w:rsid w:val="006B2696"/>
    <w:rsid w:val="006B4A5C"/>
    <w:rsid w:val="006B4C5C"/>
    <w:rsid w:val="006B4FC6"/>
    <w:rsid w:val="006B566C"/>
    <w:rsid w:val="006B7314"/>
    <w:rsid w:val="006B7E80"/>
    <w:rsid w:val="006C5A01"/>
    <w:rsid w:val="006C7406"/>
    <w:rsid w:val="006D0122"/>
    <w:rsid w:val="006D0E6D"/>
    <w:rsid w:val="006D2D92"/>
    <w:rsid w:val="006D3CE2"/>
    <w:rsid w:val="006D4CD4"/>
    <w:rsid w:val="006D567F"/>
    <w:rsid w:val="006D6AAA"/>
    <w:rsid w:val="006D7B79"/>
    <w:rsid w:val="006D7DE5"/>
    <w:rsid w:val="006E05C2"/>
    <w:rsid w:val="006E1916"/>
    <w:rsid w:val="006F3D0A"/>
    <w:rsid w:val="006F3EA8"/>
    <w:rsid w:val="006F4175"/>
    <w:rsid w:val="006F53DD"/>
    <w:rsid w:val="006F7C70"/>
    <w:rsid w:val="0070107E"/>
    <w:rsid w:val="0070362B"/>
    <w:rsid w:val="00717138"/>
    <w:rsid w:val="00720C8A"/>
    <w:rsid w:val="00721ECA"/>
    <w:rsid w:val="007247FC"/>
    <w:rsid w:val="00730017"/>
    <w:rsid w:val="00733948"/>
    <w:rsid w:val="00736B0F"/>
    <w:rsid w:val="00737CEF"/>
    <w:rsid w:val="00742472"/>
    <w:rsid w:val="00745235"/>
    <w:rsid w:val="007464EB"/>
    <w:rsid w:val="00746F4E"/>
    <w:rsid w:val="00747EA6"/>
    <w:rsid w:val="00751BC1"/>
    <w:rsid w:val="00752556"/>
    <w:rsid w:val="00753598"/>
    <w:rsid w:val="007549AB"/>
    <w:rsid w:val="00755C51"/>
    <w:rsid w:val="00756926"/>
    <w:rsid w:val="007571FB"/>
    <w:rsid w:val="00760D3D"/>
    <w:rsid w:val="00761927"/>
    <w:rsid w:val="00761A01"/>
    <w:rsid w:val="0076337B"/>
    <w:rsid w:val="007652F3"/>
    <w:rsid w:val="007654E9"/>
    <w:rsid w:val="00771377"/>
    <w:rsid w:val="007718BC"/>
    <w:rsid w:val="00773D6D"/>
    <w:rsid w:val="00775D28"/>
    <w:rsid w:val="00775F0C"/>
    <w:rsid w:val="007760BD"/>
    <w:rsid w:val="007819EA"/>
    <w:rsid w:val="00781E5A"/>
    <w:rsid w:val="0078327C"/>
    <w:rsid w:val="00784184"/>
    <w:rsid w:val="007844D6"/>
    <w:rsid w:val="00785A9C"/>
    <w:rsid w:val="00790855"/>
    <w:rsid w:val="00792C7A"/>
    <w:rsid w:val="00795BAE"/>
    <w:rsid w:val="00796289"/>
    <w:rsid w:val="007966A6"/>
    <w:rsid w:val="007A16DB"/>
    <w:rsid w:val="007A29DD"/>
    <w:rsid w:val="007A3484"/>
    <w:rsid w:val="007B0B8B"/>
    <w:rsid w:val="007B13A5"/>
    <w:rsid w:val="007B5429"/>
    <w:rsid w:val="007B67FB"/>
    <w:rsid w:val="007B7426"/>
    <w:rsid w:val="007C054E"/>
    <w:rsid w:val="007C1F44"/>
    <w:rsid w:val="007C2A8E"/>
    <w:rsid w:val="007C4A36"/>
    <w:rsid w:val="007D03EE"/>
    <w:rsid w:val="007D1A42"/>
    <w:rsid w:val="007D3C13"/>
    <w:rsid w:val="007D6A40"/>
    <w:rsid w:val="007D6AFD"/>
    <w:rsid w:val="007E0B74"/>
    <w:rsid w:val="007E0F6C"/>
    <w:rsid w:val="007E3ADA"/>
    <w:rsid w:val="007E4714"/>
    <w:rsid w:val="007E7308"/>
    <w:rsid w:val="007F3EF6"/>
    <w:rsid w:val="007F45DC"/>
    <w:rsid w:val="007F6CC3"/>
    <w:rsid w:val="00803237"/>
    <w:rsid w:val="00803809"/>
    <w:rsid w:val="008063B8"/>
    <w:rsid w:val="00811D7C"/>
    <w:rsid w:val="008132B7"/>
    <w:rsid w:val="008170D0"/>
    <w:rsid w:val="00825AEA"/>
    <w:rsid w:val="00826766"/>
    <w:rsid w:val="00831E86"/>
    <w:rsid w:val="0084188F"/>
    <w:rsid w:val="00842D42"/>
    <w:rsid w:val="00845466"/>
    <w:rsid w:val="008466C0"/>
    <w:rsid w:val="0085399B"/>
    <w:rsid w:val="00854DD9"/>
    <w:rsid w:val="00855D1D"/>
    <w:rsid w:val="008561CA"/>
    <w:rsid w:val="00857B62"/>
    <w:rsid w:val="008604EF"/>
    <w:rsid w:val="0086122A"/>
    <w:rsid w:val="00861F55"/>
    <w:rsid w:val="00864FEE"/>
    <w:rsid w:val="00865F15"/>
    <w:rsid w:val="008667C6"/>
    <w:rsid w:val="00870881"/>
    <w:rsid w:val="00872B4D"/>
    <w:rsid w:val="00874C3E"/>
    <w:rsid w:val="00874D0C"/>
    <w:rsid w:val="00875EA5"/>
    <w:rsid w:val="00880EF4"/>
    <w:rsid w:val="00881396"/>
    <w:rsid w:val="008814B1"/>
    <w:rsid w:val="008814BA"/>
    <w:rsid w:val="00883788"/>
    <w:rsid w:val="00883A10"/>
    <w:rsid w:val="00884A6B"/>
    <w:rsid w:val="00884EA4"/>
    <w:rsid w:val="00885123"/>
    <w:rsid w:val="00886231"/>
    <w:rsid w:val="0088636D"/>
    <w:rsid w:val="00886774"/>
    <w:rsid w:val="00887872"/>
    <w:rsid w:val="008965CF"/>
    <w:rsid w:val="008A204F"/>
    <w:rsid w:val="008A3173"/>
    <w:rsid w:val="008A3726"/>
    <w:rsid w:val="008A6C29"/>
    <w:rsid w:val="008A7165"/>
    <w:rsid w:val="008A731D"/>
    <w:rsid w:val="008B077A"/>
    <w:rsid w:val="008B3729"/>
    <w:rsid w:val="008C14D7"/>
    <w:rsid w:val="008C684E"/>
    <w:rsid w:val="008D163B"/>
    <w:rsid w:val="008D4349"/>
    <w:rsid w:val="008E046D"/>
    <w:rsid w:val="008E2082"/>
    <w:rsid w:val="008E2399"/>
    <w:rsid w:val="008E767E"/>
    <w:rsid w:val="008F52CF"/>
    <w:rsid w:val="008F784B"/>
    <w:rsid w:val="00900DF4"/>
    <w:rsid w:val="00901269"/>
    <w:rsid w:val="00902592"/>
    <w:rsid w:val="00903CC6"/>
    <w:rsid w:val="00907AAC"/>
    <w:rsid w:val="00910585"/>
    <w:rsid w:val="00912685"/>
    <w:rsid w:val="00913229"/>
    <w:rsid w:val="009151E5"/>
    <w:rsid w:val="009162EA"/>
    <w:rsid w:val="00916BBA"/>
    <w:rsid w:val="00920094"/>
    <w:rsid w:val="00920F9B"/>
    <w:rsid w:val="009234CC"/>
    <w:rsid w:val="009268C4"/>
    <w:rsid w:val="0093023E"/>
    <w:rsid w:val="009323E9"/>
    <w:rsid w:val="0093332F"/>
    <w:rsid w:val="009374A9"/>
    <w:rsid w:val="009401D5"/>
    <w:rsid w:val="00943895"/>
    <w:rsid w:val="00944213"/>
    <w:rsid w:val="00944E32"/>
    <w:rsid w:val="00946FCC"/>
    <w:rsid w:val="00951181"/>
    <w:rsid w:val="00962C71"/>
    <w:rsid w:val="0096467F"/>
    <w:rsid w:val="00964797"/>
    <w:rsid w:val="00964ED6"/>
    <w:rsid w:val="00965EDC"/>
    <w:rsid w:val="00970582"/>
    <w:rsid w:val="00970D5A"/>
    <w:rsid w:val="00971038"/>
    <w:rsid w:val="00977C61"/>
    <w:rsid w:val="0098013C"/>
    <w:rsid w:val="00981709"/>
    <w:rsid w:val="0098198A"/>
    <w:rsid w:val="009840FD"/>
    <w:rsid w:val="009858D6"/>
    <w:rsid w:val="00990351"/>
    <w:rsid w:val="0099148C"/>
    <w:rsid w:val="0099286D"/>
    <w:rsid w:val="00992CAE"/>
    <w:rsid w:val="00993CAF"/>
    <w:rsid w:val="009A5946"/>
    <w:rsid w:val="009A5CDE"/>
    <w:rsid w:val="009A5D38"/>
    <w:rsid w:val="009B2586"/>
    <w:rsid w:val="009B2D2C"/>
    <w:rsid w:val="009B2DA9"/>
    <w:rsid w:val="009B3D14"/>
    <w:rsid w:val="009B5498"/>
    <w:rsid w:val="009B6956"/>
    <w:rsid w:val="009B7148"/>
    <w:rsid w:val="009B7190"/>
    <w:rsid w:val="009B72E6"/>
    <w:rsid w:val="009C24A6"/>
    <w:rsid w:val="009C66D8"/>
    <w:rsid w:val="009C7D88"/>
    <w:rsid w:val="009D1497"/>
    <w:rsid w:val="009D1BD9"/>
    <w:rsid w:val="009D2E0F"/>
    <w:rsid w:val="009D35B0"/>
    <w:rsid w:val="009D398B"/>
    <w:rsid w:val="009D40DD"/>
    <w:rsid w:val="009D786B"/>
    <w:rsid w:val="009E15EA"/>
    <w:rsid w:val="009E2A32"/>
    <w:rsid w:val="009E2F93"/>
    <w:rsid w:val="009E5463"/>
    <w:rsid w:val="009E5BC7"/>
    <w:rsid w:val="009E7255"/>
    <w:rsid w:val="00A00210"/>
    <w:rsid w:val="00A048FB"/>
    <w:rsid w:val="00A061D9"/>
    <w:rsid w:val="00A228D2"/>
    <w:rsid w:val="00A25EE5"/>
    <w:rsid w:val="00A25F85"/>
    <w:rsid w:val="00A260A0"/>
    <w:rsid w:val="00A30A11"/>
    <w:rsid w:val="00A30D7B"/>
    <w:rsid w:val="00A359CE"/>
    <w:rsid w:val="00A369C8"/>
    <w:rsid w:val="00A400A6"/>
    <w:rsid w:val="00A43AC2"/>
    <w:rsid w:val="00A45220"/>
    <w:rsid w:val="00A45391"/>
    <w:rsid w:val="00A45CF1"/>
    <w:rsid w:val="00A55F01"/>
    <w:rsid w:val="00A571A8"/>
    <w:rsid w:val="00A613FC"/>
    <w:rsid w:val="00A6406E"/>
    <w:rsid w:val="00A64951"/>
    <w:rsid w:val="00A65E39"/>
    <w:rsid w:val="00A66323"/>
    <w:rsid w:val="00A738B9"/>
    <w:rsid w:val="00A747E4"/>
    <w:rsid w:val="00A80F30"/>
    <w:rsid w:val="00A82732"/>
    <w:rsid w:val="00A857D9"/>
    <w:rsid w:val="00A859C7"/>
    <w:rsid w:val="00A91614"/>
    <w:rsid w:val="00A91C9E"/>
    <w:rsid w:val="00A91E1F"/>
    <w:rsid w:val="00A923BC"/>
    <w:rsid w:val="00A94835"/>
    <w:rsid w:val="00A95290"/>
    <w:rsid w:val="00AA3F81"/>
    <w:rsid w:val="00AA49FF"/>
    <w:rsid w:val="00AA5DC8"/>
    <w:rsid w:val="00AB2F2C"/>
    <w:rsid w:val="00AB655A"/>
    <w:rsid w:val="00AC1207"/>
    <w:rsid w:val="00AC1922"/>
    <w:rsid w:val="00AC1946"/>
    <w:rsid w:val="00AC3252"/>
    <w:rsid w:val="00AC6345"/>
    <w:rsid w:val="00AC6500"/>
    <w:rsid w:val="00AD1474"/>
    <w:rsid w:val="00AD5092"/>
    <w:rsid w:val="00AE03AD"/>
    <w:rsid w:val="00AE084E"/>
    <w:rsid w:val="00AE0882"/>
    <w:rsid w:val="00AE1AF5"/>
    <w:rsid w:val="00AF14BB"/>
    <w:rsid w:val="00AF15B8"/>
    <w:rsid w:val="00AF391C"/>
    <w:rsid w:val="00AF6A3B"/>
    <w:rsid w:val="00B02B3D"/>
    <w:rsid w:val="00B04C59"/>
    <w:rsid w:val="00B1009D"/>
    <w:rsid w:val="00B114BD"/>
    <w:rsid w:val="00B1165F"/>
    <w:rsid w:val="00B129AF"/>
    <w:rsid w:val="00B15C9B"/>
    <w:rsid w:val="00B17F9E"/>
    <w:rsid w:val="00B21015"/>
    <w:rsid w:val="00B21C0A"/>
    <w:rsid w:val="00B22718"/>
    <w:rsid w:val="00B22AF3"/>
    <w:rsid w:val="00B23F89"/>
    <w:rsid w:val="00B25E9F"/>
    <w:rsid w:val="00B300C4"/>
    <w:rsid w:val="00B36AF4"/>
    <w:rsid w:val="00B41106"/>
    <w:rsid w:val="00B41AD4"/>
    <w:rsid w:val="00B41E54"/>
    <w:rsid w:val="00B45458"/>
    <w:rsid w:val="00B4617B"/>
    <w:rsid w:val="00B46521"/>
    <w:rsid w:val="00B47751"/>
    <w:rsid w:val="00B54BD0"/>
    <w:rsid w:val="00B56194"/>
    <w:rsid w:val="00B57824"/>
    <w:rsid w:val="00B613B1"/>
    <w:rsid w:val="00B6190C"/>
    <w:rsid w:val="00B62892"/>
    <w:rsid w:val="00B643C2"/>
    <w:rsid w:val="00B645D9"/>
    <w:rsid w:val="00B67FD9"/>
    <w:rsid w:val="00B706AA"/>
    <w:rsid w:val="00B710A2"/>
    <w:rsid w:val="00B72AEC"/>
    <w:rsid w:val="00B73039"/>
    <w:rsid w:val="00B73158"/>
    <w:rsid w:val="00B74192"/>
    <w:rsid w:val="00B742D9"/>
    <w:rsid w:val="00B803CD"/>
    <w:rsid w:val="00B8147B"/>
    <w:rsid w:val="00B81E34"/>
    <w:rsid w:val="00B82FFF"/>
    <w:rsid w:val="00B83FF5"/>
    <w:rsid w:val="00B85741"/>
    <w:rsid w:val="00B86DD2"/>
    <w:rsid w:val="00B929A0"/>
    <w:rsid w:val="00B93123"/>
    <w:rsid w:val="00B9344D"/>
    <w:rsid w:val="00B94107"/>
    <w:rsid w:val="00B94DE3"/>
    <w:rsid w:val="00B951F4"/>
    <w:rsid w:val="00B97BBB"/>
    <w:rsid w:val="00BA0FFB"/>
    <w:rsid w:val="00BA159E"/>
    <w:rsid w:val="00BA15AC"/>
    <w:rsid w:val="00BA3767"/>
    <w:rsid w:val="00BA4BF6"/>
    <w:rsid w:val="00BAC351"/>
    <w:rsid w:val="00BB3087"/>
    <w:rsid w:val="00BB5735"/>
    <w:rsid w:val="00BC0223"/>
    <w:rsid w:val="00BC253C"/>
    <w:rsid w:val="00BC38AF"/>
    <w:rsid w:val="00BC6E2E"/>
    <w:rsid w:val="00BD0DD6"/>
    <w:rsid w:val="00BD1231"/>
    <w:rsid w:val="00BD4190"/>
    <w:rsid w:val="00BD493D"/>
    <w:rsid w:val="00BD7402"/>
    <w:rsid w:val="00BE1A39"/>
    <w:rsid w:val="00BE2A9E"/>
    <w:rsid w:val="00BE382F"/>
    <w:rsid w:val="00BE426B"/>
    <w:rsid w:val="00BE4D46"/>
    <w:rsid w:val="00BE6760"/>
    <w:rsid w:val="00BF2C5D"/>
    <w:rsid w:val="00BF3968"/>
    <w:rsid w:val="00BF5965"/>
    <w:rsid w:val="00C0219B"/>
    <w:rsid w:val="00C02DDE"/>
    <w:rsid w:val="00C02E36"/>
    <w:rsid w:val="00C041D6"/>
    <w:rsid w:val="00C053CA"/>
    <w:rsid w:val="00C0544E"/>
    <w:rsid w:val="00C0576D"/>
    <w:rsid w:val="00C06BC8"/>
    <w:rsid w:val="00C13CCE"/>
    <w:rsid w:val="00C174F8"/>
    <w:rsid w:val="00C23326"/>
    <w:rsid w:val="00C246D3"/>
    <w:rsid w:val="00C26EBC"/>
    <w:rsid w:val="00C274E8"/>
    <w:rsid w:val="00C27E04"/>
    <w:rsid w:val="00C34D28"/>
    <w:rsid w:val="00C34E22"/>
    <w:rsid w:val="00C3660A"/>
    <w:rsid w:val="00C37B1A"/>
    <w:rsid w:val="00C37EBC"/>
    <w:rsid w:val="00C40E77"/>
    <w:rsid w:val="00C4124A"/>
    <w:rsid w:val="00C47F96"/>
    <w:rsid w:val="00C50653"/>
    <w:rsid w:val="00C52443"/>
    <w:rsid w:val="00C57F3A"/>
    <w:rsid w:val="00C60E55"/>
    <w:rsid w:val="00C627C8"/>
    <w:rsid w:val="00C628EF"/>
    <w:rsid w:val="00C6319D"/>
    <w:rsid w:val="00C64A97"/>
    <w:rsid w:val="00C65A89"/>
    <w:rsid w:val="00C711EB"/>
    <w:rsid w:val="00C8457B"/>
    <w:rsid w:val="00C909BF"/>
    <w:rsid w:val="00C91ABD"/>
    <w:rsid w:val="00C91D65"/>
    <w:rsid w:val="00C91D96"/>
    <w:rsid w:val="00C94790"/>
    <w:rsid w:val="00C9691B"/>
    <w:rsid w:val="00CA02A4"/>
    <w:rsid w:val="00CA03BE"/>
    <w:rsid w:val="00CA64FD"/>
    <w:rsid w:val="00CA687B"/>
    <w:rsid w:val="00CB1B53"/>
    <w:rsid w:val="00CB2093"/>
    <w:rsid w:val="00CB4C37"/>
    <w:rsid w:val="00CB698D"/>
    <w:rsid w:val="00CC1126"/>
    <w:rsid w:val="00CC15D3"/>
    <w:rsid w:val="00CC183C"/>
    <w:rsid w:val="00CC3603"/>
    <w:rsid w:val="00CC4C7C"/>
    <w:rsid w:val="00CC5688"/>
    <w:rsid w:val="00CC6521"/>
    <w:rsid w:val="00CC696D"/>
    <w:rsid w:val="00CC7CDB"/>
    <w:rsid w:val="00CD0EA6"/>
    <w:rsid w:val="00CE29C8"/>
    <w:rsid w:val="00CE2B3C"/>
    <w:rsid w:val="00CE2F30"/>
    <w:rsid w:val="00CE64B1"/>
    <w:rsid w:val="00CE79D4"/>
    <w:rsid w:val="00CF3649"/>
    <w:rsid w:val="00CF43E9"/>
    <w:rsid w:val="00CF4626"/>
    <w:rsid w:val="00CF7563"/>
    <w:rsid w:val="00D01037"/>
    <w:rsid w:val="00D01AAD"/>
    <w:rsid w:val="00D0301A"/>
    <w:rsid w:val="00D04965"/>
    <w:rsid w:val="00D05942"/>
    <w:rsid w:val="00D05B57"/>
    <w:rsid w:val="00D064C3"/>
    <w:rsid w:val="00D102A7"/>
    <w:rsid w:val="00D11F94"/>
    <w:rsid w:val="00D135B6"/>
    <w:rsid w:val="00D142A3"/>
    <w:rsid w:val="00D22B56"/>
    <w:rsid w:val="00D230FD"/>
    <w:rsid w:val="00D269C0"/>
    <w:rsid w:val="00D30C53"/>
    <w:rsid w:val="00D31370"/>
    <w:rsid w:val="00D32864"/>
    <w:rsid w:val="00D333E5"/>
    <w:rsid w:val="00D33BAC"/>
    <w:rsid w:val="00D341DA"/>
    <w:rsid w:val="00D344F5"/>
    <w:rsid w:val="00D4043E"/>
    <w:rsid w:val="00D413C8"/>
    <w:rsid w:val="00D4470A"/>
    <w:rsid w:val="00D44805"/>
    <w:rsid w:val="00D46414"/>
    <w:rsid w:val="00D5247E"/>
    <w:rsid w:val="00D52B42"/>
    <w:rsid w:val="00D52E00"/>
    <w:rsid w:val="00D54C5B"/>
    <w:rsid w:val="00D55743"/>
    <w:rsid w:val="00D611FF"/>
    <w:rsid w:val="00D62A30"/>
    <w:rsid w:val="00D64EE5"/>
    <w:rsid w:val="00D64F17"/>
    <w:rsid w:val="00D65ECE"/>
    <w:rsid w:val="00D66586"/>
    <w:rsid w:val="00D666D7"/>
    <w:rsid w:val="00D71220"/>
    <w:rsid w:val="00D72AF8"/>
    <w:rsid w:val="00D75110"/>
    <w:rsid w:val="00D76736"/>
    <w:rsid w:val="00D80A43"/>
    <w:rsid w:val="00D813B5"/>
    <w:rsid w:val="00D8141E"/>
    <w:rsid w:val="00D81EC4"/>
    <w:rsid w:val="00D81F2A"/>
    <w:rsid w:val="00D826A5"/>
    <w:rsid w:val="00D87B92"/>
    <w:rsid w:val="00D90809"/>
    <w:rsid w:val="00D91689"/>
    <w:rsid w:val="00D92BBA"/>
    <w:rsid w:val="00D92F09"/>
    <w:rsid w:val="00D93162"/>
    <w:rsid w:val="00D9477C"/>
    <w:rsid w:val="00D94B2C"/>
    <w:rsid w:val="00D94EEF"/>
    <w:rsid w:val="00DA112C"/>
    <w:rsid w:val="00DA3C5E"/>
    <w:rsid w:val="00DA60E0"/>
    <w:rsid w:val="00DA79C2"/>
    <w:rsid w:val="00DA7F5C"/>
    <w:rsid w:val="00DB189D"/>
    <w:rsid w:val="00DB3D80"/>
    <w:rsid w:val="00DB4D0E"/>
    <w:rsid w:val="00DB5960"/>
    <w:rsid w:val="00DB7777"/>
    <w:rsid w:val="00DB779F"/>
    <w:rsid w:val="00DC1F6A"/>
    <w:rsid w:val="00DC2BA6"/>
    <w:rsid w:val="00DC57D8"/>
    <w:rsid w:val="00DD0FC6"/>
    <w:rsid w:val="00DD4C66"/>
    <w:rsid w:val="00DD689F"/>
    <w:rsid w:val="00DD7B4A"/>
    <w:rsid w:val="00DE09A5"/>
    <w:rsid w:val="00DE20A3"/>
    <w:rsid w:val="00DE3973"/>
    <w:rsid w:val="00DE606A"/>
    <w:rsid w:val="00DF0CAB"/>
    <w:rsid w:val="00DF1132"/>
    <w:rsid w:val="00DF3D9C"/>
    <w:rsid w:val="00DF532E"/>
    <w:rsid w:val="00DF5B31"/>
    <w:rsid w:val="00DF764E"/>
    <w:rsid w:val="00DF78FE"/>
    <w:rsid w:val="00E04696"/>
    <w:rsid w:val="00E04C49"/>
    <w:rsid w:val="00E05997"/>
    <w:rsid w:val="00E07B31"/>
    <w:rsid w:val="00E15203"/>
    <w:rsid w:val="00E16BBB"/>
    <w:rsid w:val="00E173C7"/>
    <w:rsid w:val="00E25392"/>
    <w:rsid w:val="00E26902"/>
    <w:rsid w:val="00E30C84"/>
    <w:rsid w:val="00E32002"/>
    <w:rsid w:val="00E33707"/>
    <w:rsid w:val="00E33842"/>
    <w:rsid w:val="00E33BC5"/>
    <w:rsid w:val="00E41C1D"/>
    <w:rsid w:val="00E42428"/>
    <w:rsid w:val="00E43849"/>
    <w:rsid w:val="00E44217"/>
    <w:rsid w:val="00E571FC"/>
    <w:rsid w:val="00E62FD5"/>
    <w:rsid w:val="00E66735"/>
    <w:rsid w:val="00E66970"/>
    <w:rsid w:val="00E716AC"/>
    <w:rsid w:val="00E71DC6"/>
    <w:rsid w:val="00E75BA1"/>
    <w:rsid w:val="00E76379"/>
    <w:rsid w:val="00E77D1C"/>
    <w:rsid w:val="00E77FDE"/>
    <w:rsid w:val="00E80E37"/>
    <w:rsid w:val="00E82FF2"/>
    <w:rsid w:val="00E905C7"/>
    <w:rsid w:val="00E91C13"/>
    <w:rsid w:val="00EA0AF5"/>
    <w:rsid w:val="00EA1E70"/>
    <w:rsid w:val="00EA1F9A"/>
    <w:rsid w:val="00EA20DD"/>
    <w:rsid w:val="00EA685A"/>
    <w:rsid w:val="00EB06A5"/>
    <w:rsid w:val="00EB2D0E"/>
    <w:rsid w:val="00EB3F4B"/>
    <w:rsid w:val="00EB41AA"/>
    <w:rsid w:val="00EB4844"/>
    <w:rsid w:val="00EB53CF"/>
    <w:rsid w:val="00EB5BA9"/>
    <w:rsid w:val="00EB67F0"/>
    <w:rsid w:val="00EC075B"/>
    <w:rsid w:val="00EC12EF"/>
    <w:rsid w:val="00EC4A22"/>
    <w:rsid w:val="00ED097B"/>
    <w:rsid w:val="00ED73EC"/>
    <w:rsid w:val="00EE05E8"/>
    <w:rsid w:val="00EE2CAD"/>
    <w:rsid w:val="00EE371B"/>
    <w:rsid w:val="00EE39E2"/>
    <w:rsid w:val="00EE6930"/>
    <w:rsid w:val="00EF0E93"/>
    <w:rsid w:val="00EF225A"/>
    <w:rsid w:val="00EF2F05"/>
    <w:rsid w:val="00EF3AB1"/>
    <w:rsid w:val="00EF59A7"/>
    <w:rsid w:val="00F01462"/>
    <w:rsid w:val="00F01ADB"/>
    <w:rsid w:val="00F0213B"/>
    <w:rsid w:val="00F022AD"/>
    <w:rsid w:val="00F03872"/>
    <w:rsid w:val="00F03D93"/>
    <w:rsid w:val="00F0593F"/>
    <w:rsid w:val="00F10111"/>
    <w:rsid w:val="00F105A6"/>
    <w:rsid w:val="00F116FF"/>
    <w:rsid w:val="00F11FF3"/>
    <w:rsid w:val="00F12EB6"/>
    <w:rsid w:val="00F13DC9"/>
    <w:rsid w:val="00F143CD"/>
    <w:rsid w:val="00F15B31"/>
    <w:rsid w:val="00F15D12"/>
    <w:rsid w:val="00F22884"/>
    <w:rsid w:val="00F23BB1"/>
    <w:rsid w:val="00F24C03"/>
    <w:rsid w:val="00F27761"/>
    <w:rsid w:val="00F349D4"/>
    <w:rsid w:val="00F40D6E"/>
    <w:rsid w:val="00F4117F"/>
    <w:rsid w:val="00F41528"/>
    <w:rsid w:val="00F42269"/>
    <w:rsid w:val="00F46122"/>
    <w:rsid w:val="00F47C30"/>
    <w:rsid w:val="00F5261F"/>
    <w:rsid w:val="00F53408"/>
    <w:rsid w:val="00F53975"/>
    <w:rsid w:val="00F54711"/>
    <w:rsid w:val="00F54E24"/>
    <w:rsid w:val="00F6102B"/>
    <w:rsid w:val="00F61917"/>
    <w:rsid w:val="00F61F7D"/>
    <w:rsid w:val="00F70FD4"/>
    <w:rsid w:val="00F71431"/>
    <w:rsid w:val="00F731F6"/>
    <w:rsid w:val="00F74EAB"/>
    <w:rsid w:val="00F75F5B"/>
    <w:rsid w:val="00F77499"/>
    <w:rsid w:val="00F83DF5"/>
    <w:rsid w:val="00F83F67"/>
    <w:rsid w:val="00F8422D"/>
    <w:rsid w:val="00F91E34"/>
    <w:rsid w:val="00F9203E"/>
    <w:rsid w:val="00F935D2"/>
    <w:rsid w:val="00F96447"/>
    <w:rsid w:val="00F9653C"/>
    <w:rsid w:val="00FA2E28"/>
    <w:rsid w:val="00FA3021"/>
    <w:rsid w:val="00FA766A"/>
    <w:rsid w:val="00FA76D1"/>
    <w:rsid w:val="00FB1A4B"/>
    <w:rsid w:val="00FB2B0D"/>
    <w:rsid w:val="00FB3FEE"/>
    <w:rsid w:val="00FB4380"/>
    <w:rsid w:val="00FB5E9E"/>
    <w:rsid w:val="00FC0725"/>
    <w:rsid w:val="00FC0ADD"/>
    <w:rsid w:val="00FC2364"/>
    <w:rsid w:val="00FC4AFF"/>
    <w:rsid w:val="00FC4E08"/>
    <w:rsid w:val="00FC4F72"/>
    <w:rsid w:val="00FD06A4"/>
    <w:rsid w:val="00FD2080"/>
    <w:rsid w:val="00FD2196"/>
    <w:rsid w:val="00FD2262"/>
    <w:rsid w:val="00FD6515"/>
    <w:rsid w:val="00FD7E9F"/>
    <w:rsid w:val="00FE0538"/>
    <w:rsid w:val="00FE12D2"/>
    <w:rsid w:val="00FE5A0F"/>
    <w:rsid w:val="00FE6973"/>
    <w:rsid w:val="00FE7FEB"/>
    <w:rsid w:val="00FF2936"/>
    <w:rsid w:val="00FF2ED1"/>
    <w:rsid w:val="00FF310B"/>
    <w:rsid w:val="00FF598A"/>
    <w:rsid w:val="00FF74FD"/>
    <w:rsid w:val="016366BA"/>
    <w:rsid w:val="018D7CA6"/>
    <w:rsid w:val="028CA2B3"/>
    <w:rsid w:val="02BF993E"/>
    <w:rsid w:val="02E26034"/>
    <w:rsid w:val="03CD92CD"/>
    <w:rsid w:val="04CD31BA"/>
    <w:rsid w:val="0500AADC"/>
    <w:rsid w:val="0509D02B"/>
    <w:rsid w:val="054E1E65"/>
    <w:rsid w:val="06882215"/>
    <w:rsid w:val="07718C16"/>
    <w:rsid w:val="083D16FD"/>
    <w:rsid w:val="0849249D"/>
    <w:rsid w:val="09240C66"/>
    <w:rsid w:val="0A0E6D64"/>
    <w:rsid w:val="0AA84688"/>
    <w:rsid w:val="0B4ED4B3"/>
    <w:rsid w:val="0C451E9B"/>
    <w:rsid w:val="0CC1637E"/>
    <w:rsid w:val="0D167883"/>
    <w:rsid w:val="0D510197"/>
    <w:rsid w:val="0EE0813D"/>
    <w:rsid w:val="0EF13EE1"/>
    <w:rsid w:val="0F4C99B2"/>
    <w:rsid w:val="100A7226"/>
    <w:rsid w:val="101CDF45"/>
    <w:rsid w:val="1024B15E"/>
    <w:rsid w:val="1026FCA5"/>
    <w:rsid w:val="118613B7"/>
    <w:rsid w:val="1206C728"/>
    <w:rsid w:val="120BC1B4"/>
    <w:rsid w:val="12D85E2D"/>
    <w:rsid w:val="13545FA0"/>
    <w:rsid w:val="14907742"/>
    <w:rsid w:val="14F08A10"/>
    <w:rsid w:val="1576163D"/>
    <w:rsid w:val="1589E31E"/>
    <w:rsid w:val="15CEA2DD"/>
    <w:rsid w:val="183F83FA"/>
    <w:rsid w:val="18C2E2FF"/>
    <w:rsid w:val="1B4932ED"/>
    <w:rsid w:val="1B9DBFAD"/>
    <w:rsid w:val="1C168F5A"/>
    <w:rsid w:val="1C7C93BB"/>
    <w:rsid w:val="1D2D05A1"/>
    <w:rsid w:val="1D5739E4"/>
    <w:rsid w:val="1D63E16D"/>
    <w:rsid w:val="1D756B82"/>
    <w:rsid w:val="1E1A1088"/>
    <w:rsid w:val="1E62A88C"/>
    <w:rsid w:val="1E7E43F9"/>
    <w:rsid w:val="1EF30A45"/>
    <w:rsid w:val="1F8DBEA3"/>
    <w:rsid w:val="20AEB606"/>
    <w:rsid w:val="21215E95"/>
    <w:rsid w:val="213ED59A"/>
    <w:rsid w:val="2159B914"/>
    <w:rsid w:val="21A675AF"/>
    <w:rsid w:val="21C0248E"/>
    <w:rsid w:val="2208466C"/>
    <w:rsid w:val="22B98C57"/>
    <w:rsid w:val="23B0BAEB"/>
    <w:rsid w:val="23FE937A"/>
    <w:rsid w:val="241194B9"/>
    <w:rsid w:val="2425A842"/>
    <w:rsid w:val="24437FD1"/>
    <w:rsid w:val="2588AD93"/>
    <w:rsid w:val="25E99A9D"/>
    <w:rsid w:val="25EE2836"/>
    <w:rsid w:val="25F46228"/>
    <w:rsid w:val="276EA1AB"/>
    <w:rsid w:val="27CC48BC"/>
    <w:rsid w:val="27D2C718"/>
    <w:rsid w:val="27DB7FC2"/>
    <w:rsid w:val="2819E31E"/>
    <w:rsid w:val="285946CA"/>
    <w:rsid w:val="28DB0753"/>
    <w:rsid w:val="2941B8CF"/>
    <w:rsid w:val="2A50EB3A"/>
    <w:rsid w:val="2AC43995"/>
    <w:rsid w:val="2BCA5887"/>
    <w:rsid w:val="2BFB6A67"/>
    <w:rsid w:val="2C7D54A5"/>
    <w:rsid w:val="2C8F91ED"/>
    <w:rsid w:val="2CA48613"/>
    <w:rsid w:val="2CFB3FF5"/>
    <w:rsid w:val="2D03149E"/>
    <w:rsid w:val="2D45E022"/>
    <w:rsid w:val="2DB275F9"/>
    <w:rsid w:val="2DFAF407"/>
    <w:rsid w:val="2DFEF78C"/>
    <w:rsid w:val="2E419D6A"/>
    <w:rsid w:val="2EE1B083"/>
    <w:rsid w:val="2F674C68"/>
    <w:rsid w:val="2F8E9A22"/>
    <w:rsid w:val="2FE6549A"/>
    <w:rsid w:val="30A295F8"/>
    <w:rsid w:val="31576D39"/>
    <w:rsid w:val="31B0D835"/>
    <w:rsid w:val="32086149"/>
    <w:rsid w:val="3252908F"/>
    <w:rsid w:val="33EEC495"/>
    <w:rsid w:val="3469DAC5"/>
    <w:rsid w:val="34712276"/>
    <w:rsid w:val="355BAA18"/>
    <w:rsid w:val="35622EAE"/>
    <w:rsid w:val="364EE6DC"/>
    <w:rsid w:val="36C3297D"/>
    <w:rsid w:val="3756D4E6"/>
    <w:rsid w:val="37C7F218"/>
    <w:rsid w:val="38AA7BF3"/>
    <w:rsid w:val="3A1A3466"/>
    <w:rsid w:val="3ABCAB84"/>
    <w:rsid w:val="3AC5104E"/>
    <w:rsid w:val="3B6FB1D5"/>
    <w:rsid w:val="3CA19A29"/>
    <w:rsid w:val="3CB89F91"/>
    <w:rsid w:val="3CBEA4C3"/>
    <w:rsid w:val="3D512CFD"/>
    <w:rsid w:val="3DE7CF41"/>
    <w:rsid w:val="3EEC98B7"/>
    <w:rsid w:val="41E54D93"/>
    <w:rsid w:val="41F4E9AA"/>
    <w:rsid w:val="4206D6B1"/>
    <w:rsid w:val="42C2415B"/>
    <w:rsid w:val="43045AF1"/>
    <w:rsid w:val="43801D27"/>
    <w:rsid w:val="446BF89E"/>
    <w:rsid w:val="4497A73A"/>
    <w:rsid w:val="44A75EC9"/>
    <w:rsid w:val="44A83DE6"/>
    <w:rsid w:val="44AA2511"/>
    <w:rsid w:val="456F0357"/>
    <w:rsid w:val="45A8B04F"/>
    <w:rsid w:val="45B8BFA3"/>
    <w:rsid w:val="46723B73"/>
    <w:rsid w:val="46DA5BDE"/>
    <w:rsid w:val="47D3BCC2"/>
    <w:rsid w:val="4866A2FA"/>
    <w:rsid w:val="4A3F8641"/>
    <w:rsid w:val="4B2E16DC"/>
    <w:rsid w:val="4B730E05"/>
    <w:rsid w:val="4BCB42FD"/>
    <w:rsid w:val="4C21BCC3"/>
    <w:rsid w:val="4C547958"/>
    <w:rsid w:val="4C99C2C7"/>
    <w:rsid w:val="4CA71816"/>
    <w:rsid w:val="4CC263B0"/>
    <w:rsid w:val="4CC68082"/>
    <w:rsid w:val="4E2B5F44"/>
    <w:rsid w:val="4E7C2D5E"/>
    <w:rsid w:val="4E8D0111"/>
    <w:rsid w:val="4EA3EFF1"/>
    <w:rsid w:val="4F60978D"/>
    <w:rsid w:val="4FA69C84"/>
    <w:rsid w:val="50F67A1C"/>
    <w:rsid w:val="51590775"/>
    <w:rsid w:val="51608F5D"/>
    <w:rsid w:val="51BA6F8C"/>
    <w:rsid w:val="525B2770"/>
    <w:rsid w:val="537E1FEA"/>
    <w:rsid w:val="564C4AC8"/>
    <w:rsid w:val="564C989B"/>
    <w:rsid w:val="5700F97D"/>
    <w:rsid w:val="579B8A19"/>
    <w:rsid w:val="57C41B77"/>
    <w:rsid w:val="5891CD93"/>
    <w:rsid w:val="58C4D4DC"/>
    <w:rsid w:val="58EC1098"/>
    <w:rsid w:val="59018C01"/>
    <w:rsid w:val="5A35F402"/>
    <w:rsid w:val="5ABF8394"/>
    <w:rsid w:val="5DFB099B"/>
    <w:rsid w:val="5E19193C"/>
    <w:rsid w:val="5F7CD6E2"/>
    <w:rsid w:val="603AF52F"/>
    <w:rsid w:val="61373D88"/>
    <w:rsid w:val="61A92B7E"/>
    <w:rsid w:val="61BC7192"/>
    <w:rsid w:val="61D8478A"/>
    <w:rsid w:val="63343C36"/>
    <w:rsid w:val="63BE2033"/>
    <w:rsid w:val="6437C1A3"/>
    <w:rsid w:val="64A20393"/>
    <w:rsid w:val="654381A4"/>
    <w:rsid w:val="6599E19B"/>
    <w:rsid w:val="65D809F5"/>
    <w:rsid w:val="65FA5EE0"/>
    <w:rsid w:val="677327F7"/>
    <w:rsid w:val="67AD0039"/>
    <w:rsid w:val="6891BDFC"/>
    <w:rsid w:val="68B2B81A"/>
    <w:rsid w:val="68E6503D"/>
    <w:rsid w:val="69424F6D"/>
    <w:rsid w:val="69CF6F6D"/>
    <w:rsid w:val="6A340D2C"/>
    <w:rsid w:val="6B11B487"/>
    <w:rsid w:val="6B3D060A"/>
    <w:rsid w:val="6C20C391"/>
    <w:rsid w:val="6C822DF4"/>
    <w:rsid w:val="6C8D6C40"/>
    <w:rsid w:val="6CBE9227"/>
    <w:rsid w:val="6D739924"/>
    <w:rsid w:val="6D7D3331"/>
    <w:rsid w:val="6D8D9BDC"/>
    <w:rsid w:val="6DAF990E"/>
    <w:rsid w:val="6E74D580"/>
    <w:rsid w:val="6ED8F9D0"/>
    <w:rsid w:val="6EDDCB39"/>
    <w:rsid w:val="6F517D58"/>
    <w:rsid w:val="6F52DB84"/>
    <w:rsid w:val="6F79636C"/>
    <w:rsid w:val="6FBD106A"/>
    <w:rsid w:val="70118C31"/>
    <w:rsid w:val="70C10476"/>
    <w:rsid w:val="7175D6E0"/>
    <w:rsid w:val="72237C21"/>
    <w:rsid w:val="7297DBD1"/>
    <w:rsid w:val="72EC5DF9"/>
    <w:rsid w:val="72FA999E"/>
    <w:rsid w:val="733D3D73"/>
    <w:rsid w:val="734846A3"/>
    <w:rsid w:val="73B25F3B"/>
    <w:rsid w:val="73CAA166"/>
    <w:rsid w:val="7433AC32"/>
    <w:rsid w:val="74B38387"/>
    <w:rsid w:val="758807FC"/>
    <w:rsid w:val="76C0C59F"/>
    <w:rsid w:val="76C25FB1"/>
    <w:rsid w:val="76DCD6C6"/>
    <w:rsid w:val="77540D13"/>
    <w:rsid w:val="777B84D5"/>
    <w:rsid w:val="778ED435"/>
    <w:rsid w:val="78028F69"/>
    <w:rsid w:val="783D766F"/>
    <w:rsid w:val="783FEF6D"/>
    <w:rsid w:val="7917A8CA"/>
    <w:rsid w:val="7940EE47"/>
    <w:rsid w:val="79DC410B"/>
    <w:rsid w:val="7B797453"/>
    <w:rsid w:val="7BE5D501"/>
    <w:rsid w:val="7BFA13E5"/>
    <w:rsid w:val="7C98017F"/>
    <w:rsid w:val="7D80F144"/>
    <w:rsid w:val="7E03246D"/>
    <w:rsid w:val="7E34497A"/>
    <w:rsid w:val="7EF36262"/>
    <w:rsid w:val="7F256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815F"/>
  <w15:docId w15:val="{9E1B651A-3D66-4252-A53B-696B4514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3F"/>
  </w:style>
  <w:style w:type="paragraph" w:styleId="Heading1">
    <w:name w:val="heading 1"/>
    <w:basedOn w:val="Normal"/>
    <w:next w:val="Normal"/>
    <w:link w:val="Heading1Char"/>
    <w:uiPriority w:val="9"/>
    <w:qFormat/>
    <w:rsid w:val="00870881"/>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70881"/>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0881"/>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870881"/>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870881"/>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870881"/>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870881"/>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87088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088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486EE3"/>
  </w:style>
  <w:style w:type="character" w:customStyle="1" w:styleId="FootnoteTextChar1">
    <w:name w:val="Footnote Text Char1"/>
    <w:basedOn w:val="DefaultParagraphFont"/>
    <w:link w:val="FootnoteText"/>
    <w:uiPriority w:val="99"/>
    <w:rsid w:val="00486EE3"/>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486EE3"/>
    <w:rPr>
      <w:vertAlign w:val="superscript"/>
    </w:rPr>
  </w:style>
  <w:style w:type="paragraph" w:styleId="ListParagraph">
    <w:name w:val="List Paragraph"/>
    <w:basedOn w:val="Normal"/>
    <w:uiPriority w:val="99"/>
    <w:qFormat/>
    <w:rsid w:val="00D4470A"/>
    <w:pPr>
      <w:ind w:left="720"/>
      <w:contextualSpacing/>
    </w:pPr>
  </w:style>
  <w:style w:type="paragraph" w:styleId="Header">
    <w:name w:val="header"/>
    <w:basedOn w:val="Normal"/>
    <w:link w:val="HeaderChar"/>
    <w:uiPriority w:val="99"/>
    <w:unhideWhenUsed/>
    <w:rsid w:val="00610F60"/>
    <w:pPr>
      <w:tabs>
        <w:tab w:val="center" w:pos="4252"/>
        <w:tab w:val="right" w:pos="8504"/>
      </w:tabs>
    </w:pPr>
  </w:style>
  <w:style w:type="character" w:customStyle="1" w:styleId="HeaderChar">
    <w:name w:val="Header Char"/>
    <w:basedOn w:val="DefaultParagraphFont"/>
    <w:link w:val="Header"/>
    <w:uiPriority w:val="99"/>
    <w:rsid w:val="00610F60"/>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610F60"/>
    <w:pPr>
      <w:tabs>
        <w:tab w:val="center" w:pos="4252"/>
        <w:tab w:val="right" w:pos="8504"/>
      </w:tabs>
    </w:pPr>
  </w:style>
  <w:style w:type="character" w:customStyle="1" w:styleId="FooterChar">
    <w:name w:val="Footer Char"/>
    <w:basedOn w:val="DefaultParagraphFont"/>
    <w:link w:val="Footer"/>
    <w:uiPriority w:val="99"/>
    <w:rsid w:val="00610F60"/>
    <w:rPr>
      <w:rFonts w:ascii="Times New Roman" w:eastAsia="Times New Roman" w:hAnsi="Times New Roman" w:cs="Times New Roman"/>
      <w:sz w:val="24"/>
      <w:szCs w:val="24"/>
      <w:lang w:eastAsia="es-ES"/>
    </w:rPr>
  </w:style>
  <w:style w:type="paragraph" w:customStyle="1" w:styleId="Default">
    <w:name w:val="Default"/>
    <w:uiPriority w:val="99"/>
    <w:rsid w:val="00D269C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4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70881"/>
    <w:rPr>
      <w:b/>
      <w:bCs/>
    </w:rPr>
  </w:style>
  <w:style w:type="character" w:styleId="Hyperlink">
    <w:name w:val="Hyperlink"/>
    <w:basedOn w:val="DefaultParagraphFont"/>
    <w:uiPriority w:val="99"/>
    <w:unhideWhenUsed/>
    <w:rsid w:val="00573241"/>
    <w:rPr>
      <w:color w:val="0000FF"/>
      <w:u w:val="single"/>
    </w:rPr>
  </w:style>
  <w:style w:type="character" w:customStyle="1" w:styleId="Heading1Char">
    <w:name w:val="Heading 1 Char"/>
    <w:basedOn w:val="DefaultParagraphFont"/>
    <w:link w:val="Heading1"/>
    <w:uiPriority w:val="9"/>
    <w:rsid w:val="00870881"/>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870881"/>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870881"/>
    <w:rPr>
      <w:caps/>
      <w:color w:val="1A495C" w:themeColor="accent1" w:themeShade="7F"/>
      <w:spacing w:val="15"/>
    </w:rPr>
  </w:style>
  <w:style w:type="character" w:customStyle="1" w:styleId="Heading4Char">
    <w:name w:val="Heading 4 Char"/>
    <w:basedOn w:val="DefaultParagraphFont"/>
    <w:link w:val="Heading4"/>
    <w:uiPriority w:val="9"/>
    <w:semiHidden/>
    <w:rsid w:val="00870881"/>
    <w:rPr>
      <w:caps/>
      <w:color w:val="276E8B" w:themeColor="accent1" w:themeShade="BF"/>
      <w:spacing w:val="10"/>
    </w:rPr>
  </w:style>
  <w:style w:type="character" w:customStyle="1" w:styleId="Heading5Char">
    <w:name w:val="Heading 5 Char"/>
    <w:basedOn w:val="DefaultParagraphFont"/>
    <w:link w:val="Heading5"/>
    <w:uiPriority w:val="9"/>
    <w:semiHidden/>
    <w:rsid w:val="00870881"/>
    <w:rPr>
      <w:caps/>
      <w:color w:val="276E8B" w:themeColor="accent1" w:themeShade="BF"/>
      <w:spacing w:val="10"/>
    </w:rPr>
  </w:style>
  <w:style w:type="character" w:customStyle="1" w:styleId="Heading6Char">
    <w:name w:val="Heading 6 Char"/>
    <w:basedOn w:val="DefaultParagraphFont"/>
    <w:link w:val="Heading6"/>
    <w:uiPriority w:val="9"/>
    <w:semiHidden/>
    <w:rsid w:val="00870881"/>
    <w:rPr>
      <w:caps/>
      <w:color w:val="276E8B" w:themeColor="accent1" w:themeShade="BF"/>
      <w:spacing w:val="10"/>
    </w:rPr>
  </w:style>
  <w:style w:type="character" w:customStyle="1" w:styleId="Heading7Char">
    <w:name w:val="Heading 7 Char"/>
    <w:basedOn w:val="DefaultParagraphFont"/>
    <w:link w:val="Heading7"/>
    <w:uiPriority w:val="9"/>
    <w:semiHidden/>
    <w:rsid w:val="00870881"/>
    <w:rPr>
      <w:caps/>
      <w:color w:val="276E8B" w:themeColor="accent1" w:themeShade="BF"/>
      <w:spacing w:val="10"/>
    </w:rPr>
  </w:style>
  <w:style w:type="character" w:customStyle="1" w:styleId="Heading8Char">
    <w:name w:val="Heading 8 Char"/>
    <w:basedOn w:val="DefaultParagraphFont"/>
    <w:link w:val="Heading8"/>
    <w:uiPriority w:val="9"/>
    <w:semiHidden/>
    <w:rsid w:val="00870881"/>
    <w:rPr>
      <w:caps/>
      <w:spacing w:val="10"/>
      <w:sz w:val="18"/>
      <w:szCs w:val="18"/>
    </w:rPr>
  </w:style>
  <w:style w:type="character" w:customStyle="1" w:styleId="Heading9Char">
    <w:name w:val="Heading 9 Char"/>
    <w:basedOn w:val="DefaultParagraphFont"/>
    <w:link w:val="Heading9"/>
    <w:uiPriority w:val="9"/>
    <w:semiHidden/>
    <w:rsid w:val="00870881"/>
    <w:rPr>
      <w:i/>
      <w:iCs/>
      <w:caps/>
      <w:spacing w:val="10"/>
      <w:sz w:val="18"/>
      <w:szCs w:val="18"/>
    </w:rPr>
  </w:style>
  <w:style w:type="paragraph" w:styleId="Caption">
    <w:name w:val="caption"/>
    <w:basedOn w:val="Normal"/>
    <w:next w:val="Normal"/>
    <w:uiPriority w:val="35"/>
    <w:semiHidden/>
    <w:unhideWhenUsed/>
    <w:qFormat/>
    <w:rsid w:val="00870881"/>
    <w:rPr>
      <w:b/>
      <w:bCs/>
      <w:color w:val="276E8B" w:themeColor="accent1" w:themeShade="BF"/>
      <w:sz w:val="16"/>
      <w:szCs w:val="16"/>
    </w:rPr>
  </w:style>
  <w:style w:type="paragraph" w:styleId="Title">
    <w:name w:val="Title"/>
    <w:basedOn w:val="Normal"/>
    <w:next w:val="Normal"/>
    <w:link w:val="TitleChar"/>
    <w:uiPriority w:val="99"/>
    <w:qFormat/>
    <w:rsid w:val="00870881"/>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99"/>
    <w:rsid w:val="00870881"/>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87088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70881"/>
    <w:rPr>
      <w:caps/>
      <w:color w:val="595959" w:themeColor="text1" w:themeTint="A6"/>
      <w:spacing w:val="10"/>
      <w:sz w:val="21"/>
      <w:szCs w:val="21"/>
    </w:rPr>
  </w:style>
  <w:style w:type="character" w:styleId="Emphasis">
    <w:name w:val="Emphasis"/>
    <w:uiPriority w:val="20"/>
    <w:qFormat/>
    <w:rsid w:val="00870881"/>
    <w:rPr>
      <w:caps/>
      <w:color w:val="1A495C" w:themeColor="accent1" w:themeShade="7F"/>
      <w:spacing w:val="5"/>
    </w:rPr>
  </w:style>
  <w:style w:type="paragraph" w:styleId="NoSpacing">
    <w:name w:val="No Spacing"/>
    <w:link w:val="NoSpacingChar"/>
    <w:uiPriority w:val="1"/>
    <w:qFormat/>
    <w:rsid w:val="00870881"/>
    <w:pPr>
      <w:spacing w:after="0" w:line="240" w:lineRule="auto"/>
    </w:pPr>
  </w:style>
  <w:style w:type="paragraph" w:styleId="Quote">
    <w:name w:val="Quote"/>
    <w:basedOn w:val="Normal"/>
    <w:next w:val="Normal"/>
    <w:link w:val="QuoteChar"/>
    <w:uiPriority w:val="29"/>
    <w:qFormat/>
    <w:rsid w:val="00870881"/>
    <w:rPr>
      <w:i/>
      <w:iCs/>
      <w:sz w:val="24"/>
      <w:szCs w:val="24"/>
    </w:rPr>
  </w:style>
  <w:style w:type="character" w:customStyle="1" w:styleId="QuoteChar">
    <w:name w:val="Quote Char"/>
    <w:basedOn w:val="DefaultParagraphFont"/>
    <w:link w:val="Quote"/>
    <w:uiPriority w:val="29"/>
    <w:rsid w:val="00870881"/>
    <w:rPr>
      <w:i/>
      <w:iCs/>
      <w:sz w:val="24"/>
      <w:szCs w:val="24"/>
    </w:rPr>
  </w:style>
  <w:style w:type="paragraph" w:styleId="IntenseQuote">
    <w:name w:val="Intense Quote"/>
    <w:basedOn w:val="Normal"/>
    <w:next w:val="Normal"/>
    <w:link w:val="IntenseQuoteChar"/>
    <w:uiPriority w:val="30"/>
    <w:qFormat/>
    <w:rsid w:val="00870881"/>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870881"/>
    <w:rPr>
      <w:color w:val="3494BA" w:themeColor="accent1"/>
      <w:sz w:val="24"/>
      <w:szCs w:val="24"/>
    </w:rPr>
  </w:style>
  <w:style w:type="character" w:styleId="SubtleEmphasis">
    <w:name w:val="Subtle Emphasis"/>
    <w:uiPriority w:val="19"/>
    <w:qFormat/>
    <w:rsid w:val="00870881"/>
    <w:rPr>
      <w:i/>
      <w:iCs/>
      <w:color w:val="1A495C" w:themeColor="accent1" w:themeShade="7F"/>
    </w:rPr>
  </w:style>
  <w:style w:type="character" w:styleId="IntenseEmphasis">
    <w:name w:val="Intense Emphasis"/>
    <w:uiPriority w:val="99"/>
    <w:qFormat/>
    <w:rsid w:val="00870881"/>
    <w:rPr>
      <w:b/>
      <w:bCs/>
      <w:caps/>
      <w:color w:val="1A495C" w:themeColor="accent1" w:themeShade="7F"/>
      <w:spacing w:val="10"/>
    </w:rPr>
  </w:style>
  <w:style w:type="character" w:styleId="SubtleReference">
    <w:name w:val="Subtle Reference"/>
    <w:uiPriority w:val="31"/>
    <w:qFormat/>
    <w:rsid w:val="00870881"/>
    <w:rPr>
      <w:b/>
      <w:bCs/>
      <w:color w:val="3494BA" w:themeColor="accent1"/>
    </w:rPr>
  </w:style>
  <w:style w:type="character" w:styleId="IntenseReference">
    <w:name w:val="Intense Reference"/>
    <w:uiPriority w:val="32"/>
    <w:qFormat/>
    <w:rsid w:val="00870881"/>
    <w:rPr>
      <w:b/>
      <w:bCs/>
      <w:i/>
      <w:iCs/>
      <w:caps/>
      <w:color w:val="3494BA" w:themeColor="accent1"/>
    </w:rPr>
  </w:style>
  <w:style w:type="character" w:styleId="BookTitle">
    <w:name w:val="Book Title"/>
    <w:uiPriority w:val="33"/>
    <w:qFormat/>
    <w:rsid w:val="00870881"/>
    <w:rPr>
      <w:b/>
      <w:bCs/>
      <w:i/>
      <w:iCs/>
      <w:spacing w:val="0"/>
    </w:rPr>
  </w:style>
  <w:style w:type="paragraph" w:styleId="TOCHeading">
    <w:name w:val="TOC Heading"/>
    <w:basedOn w:val="Heading1"/>
    <w:next w:val="Normal"/>
    <w:uiPriority w:val="39"/>
    <w:unhideWhenUsed/>
    <w:qFormat/>
    <w:rsid w:val="00870881"/>
    <w:pPr>
      <w:outlineLvl w:val="9"/>
    </w:pPr>
  </w:style>
  <w:style w:type="numbering" w:customStyle="1" w:styleId="Sinlista1">
    <w:name w:val="Sin lista1"/>
    <w:next w:val="NoList"/>
    <w:uiPriority w:val="99"/>
    <w:semiHidden/>
    <w:unhideWhenUsed/>
    <w:rsid w:val="00F15D12"/>
  </w:style>
  <w:style w:type="paragraph" w:styleId="BalloonText">
    <w:name w:val="Balloon Text"/>
    <w:basedOn w:val="Normal"/>
    <w:link w:val="BalloonTextChar"/>
    <w:uiPriority w:val="99"/>
    <w:semiHidden/>
    <w:rsid w:val="00F15D12"/>
    <w:pPr>
      <w:spacing w:before="0" w:after="0" w:line="240" w:lineRule="auto"/>
    </w:pPr>
    <w:rPr>
      <w:rFonts w:ascii="Tahoma" w:eastAsia="Calibri" w:hAnsi="Tahoma" w:cs="Tahoma"/>
      <w:sz w:val="16"/>
      <w:szCs w:val="16"/>
      <w:lang w:val="es-CL"/>
    </w:rPr>
  </w:style>
  <w:style w:type="character" w:customStyle="1" w:styleId="BalloonTextChar">
    <w:name w:val="Balloon Text Char"/>
    <w:basedOn w:val="DefaultParagraphFont"/>
    <w:link w:val="BalloonText"/>
    <w:uiPriority w:val="99"/>
    <w:semiHidden/>
    <w:rsid w:val="00F15D12"/>
    <w:rPr>
      <w:rFonts w:ascii="Tahoma" w:eastAsia="Calibri" w:hAnsi="Tahoma" w:cs="Tahoma"/>
      <w:sz w:val="16"/>
      <w:szCs w:val="16"/>
      <w:lang w:val="es-CL"/>
    </w:rPr>
  </w:style>
  <w:style w:type="table" w:customStyle="1" w:styleId="Tablaconcuadrcula1">
    <w:name w:val="Tabla con cuadrícula1"/>
    <w:basedOn w:val="TableNormal"/>
    <w:next w:val="TableGrid"/>
    <w:uiPriority w:val="99"/>
    <w:rsid w:val="00F15D12"/>
    <w:pPr>
      <w:spacing w:before="0" w:after="0" w:line="240" w:lineRule="auto"/>
    </w:pPr>
    <w:rPr>
      <w:rFonts w:ascii="Calibri" w:eastAsia="Calibri" w:hAnsi="Calibri" w:cs="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99"/>
    <w:rsid w:val="00F15D12"/>
    <w:pPr>
      <w:spacing w:before="0" w:after="0" w:line="240" w:lineRule="auto"/>
    </w:pPr>
    <w:rPr>
      <w:rFonts w:ascii="Calibri" w:eastAsia="Calibri" w:hAnsi="Calibri" w:cs="Times New Roman"/>
      <w:color w:val="000000"/>
      <w:lang w:val="es-CL" w:eastAsia="es-CL"/>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Shading1-Accent5">
    <w:name w:val="Medium Shading 1 Accent 5"/>
    <w:basedOn w:val="TableNormal"/>
    <w:uiPriority w:val="99"/>
    <w:rsid w:val="00F15D12"/>
    <w:pPr>
      <w:spacing w:before="0" w:after="0" w:line="240" w:lineRule="auto"/>
    </w:pPr>
    <w:rPr>
      <w:rFonts w:ascii="Calibri" w:eastAsia="Calibri" w:hAnsi="Calibri" w:cs="Times New Roman"/>
      <w:lang w:val="es-CL" w:eastAsia="es-C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FootnoteTextChar">
    <w:name w:val="Footnote Text Char"/>
    <w:uiPriority w:val="99"/>
    <w:semiHidden/>
    <w:locked/>
    <w:rsid w:val="00F15D12"/>
    <w:rPr>
      <w:rFonts w:cs="Times New Roman"/>
      <w:sz w:val="20"/>
      <w:szCs w:val="20"/>
      <w:lang w:val="es-CL"/>
    </w:rPr>
  </w:style>
  <w:style w:type="table" w:styleId="MediumGrid3-Accent5">
    <w:name w:val="Medium Grid 3 Accent 5"/>
    <w:basedOn w:val="TableNormal"/>
    <w:uiPriority w:val="99"/>
    <w:rsid w:val="00F15D12"/>
    <w:pPr>
      <w:spacing w:before="0" w:after="0" w:line="240" w:lineRule="auto"/>
    </w:pPr>
    <w:rPr>
      <w:rFonts w:ascii="Calibri" w:eastAsia="Calibri" w:hAnsi="Calibri" w:cs="Times New Roman"/>
      <w:lang w:val="es-CL"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List2-Accent3">
    <w:name w:val="Medium List 2 Accent 3"/>
    <w:basedOn w:val="TableNormal"/>
    <w:uiPriority w:val="99"/>
    <w:rsid w:val="00F15D12"/>
    <w:pPr>
      <w:spacing w:before="0" w:after="0" w:line="240" w:lineRule="auto"/>
    </w:pPr>
    <w:rPr>
      <w:rFonts w:ascii="Cambria" w:eastAsia="Times New Roman" w:hAnsi="Cambria" w:cs="Times New Roman"/>
      <w:color w:val="000000"/>
      <w:lang w:val="es-CL" w:eastAsia="es-C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1">
    <w:name w:val="Light Shading Accent 1"/>
    <w:basedOn w:val="TableNormal"/>
    <w:uiPriority w:val="99"/>
    <w:rsid w:val="00F15D12"/>
    <w:pPr>
      <w:spacing w:before="0" w:after="0" w:line="240" w:lineRule="auto"/>
    </w:pPr>
    <w:rPr>
      <w:rFonts w:ascii="Calibri" w:eastAsia="Calibri" w:hAnsi="Calibri" w:cs="Times New Roman"/>
      <w:color w:val="365F91"/>
      <w:lang w:val="es-CL" w:eastAsia="es-CL"/>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rsid w:val="00F15D12"/>
    <w:pPr>
      <w:spacing w:beforeAutospacing="1" w:after="100" w:afterAutospacing="1" w:line="240" w:lineRule="auto"/>
    </w:pPr>
    <w:rPr>
      <w:rFonts w:ascii="Times New Roman" w:eastAsia="Times New Roman" w:hAnsi="Times New Roman" w:cs="Times New Roman"/>
      <w:sz w:val="24"/>
      <w:szCs w:val="24"/>
      <w:lang w:val="es-CL" w:eastAsia="es-CL"/>
    </w:rPr>
  </w:style>
  <w:style w:type="character" w:styleId="CommentReference">
    <w:name w:val="annotation reference"/>
    <w:uiPriority w:val="99"/>
    <w:semiHidden/>
    <w:rsid w:val="00F15D12"/>
    <w:rPr>
      <w:rFonts w:cs="Times New Roman"/>
      <w:sz w:val="16"/>
      <w:szCs w:val="16"/>
    </w:rPr>
  </w:style>
  <w:style w:type="paragraph" w:styleId="CommentText">
    <w:name w:val="annotation text"/>
    <w:basedOn w:val="Normal"/>
    <w:link w:val="CommentTextChar"/>
    <w:uiPriority w:val="99"/>
    <w:semiHidden/>
    <w:rsid w:val="00F15D12"/>
    <w:pPr>
      <w:spacing w:before="0" w:line="240" w:lineRule="auto"/>
    </w:pPr>
    <w:rPr>
      <w:rFonts w:ascii="Calibri" w:eastAsia="Calibri" w:hAnsi="Calibri" w:cs="Times New Roman"/>
      <w:lang w:val="es-CL"/>
    </w:rPr>
  </w:style>
  <w:style w:type="character" w:customStyle="1" w:styleId="CommentTextChar">
    <w:name w:val="Comment Text Char"/>
    <w:basedOn w:val="DefaultParagraphFont"/>
    <w:link w:val="CommentText"/>
    <w:uiPriority w:val="99"/>
    <w:semiHidden/>
    <w:rsid w:val="00F15D12"/>
    <w:rPr>
      <w:rFonts w:ascii="Calibri" w:eastAsia="Calibri" w:hAnsi="Calibri" w:cs="Times New Roman"/>
      <w:lang w:val="es-CL"/>
    </w:rPr>
  </w:style>
  <w:style w:type="paragraph" w:styleId="CommentSubject">
    <w:name w:val="annotation subject"/>
    <w:basedOn w:val="CommentText"/>
    <w:next w:val="CommentText"/>
    <w:link w:val="CommentSubjectChar"/>
    <w:uiPriority w:val="99"/>
    <w:semiHidden/>
    <w:rsid w:val="00F15D12"/>
    <w:rPr>
      <w:b/>
      <w:bCs/>
    </w:rPr>
  </w:style>
  <w:style w:type="character" w:customStyle="1" w:styleId="CommentSubjectChar">
    <w:name w:val="Comment Subject Char"/>
    <w:basedOn w:val="CommentTextChar"/>
    <w:link w:val="CommentSubject"/>
    <w:uiPriority w:val="99"/>
    <w:semiHidden/>
    <w:rsid w:val="00F15D12"/>
    <w:rPr>
      <w:rFonts w:ascii="Calibri" w:eastAsia="Calibri" w:hAnsi="Calibri" w:cs="Times New Roman"/>
      <w:b/>
      <w:bCs/>
      <w:lang w:val="es-CL"/>
    </w:rPr>
  </w:style>
  <w:style w:type="numbering" w:customStyle="1" w:styleId="Estilo1">
    <w:name w:val="Estilo1"/>
    <w:rsid w:val="00F15D12"/>
    <w:pPr>
      <w:numPr>
        <w:numId w:val="4"/>
      </w:numPr>
    </w:pPr>
  </w:style>
  <w:style w:type="table" w:customStyle="1" w:styleId="Tablaconcuadrcula2">
    <w:name w:val="Tabla con cuadrícula2"/>
    <w:basedOn w:val="TableNormal"/>
    <w:next w:val="TableGrid"/>
    <w:uiPriority w:val="99"/>
    <w:rsid w:val="0023632B"/>
    <w:pPr>
      <w:spacing w:before="20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97324"/>
  </w:style>
  <w:style w:type="table" w:styleId="GridTable2-Accent1">
    <w:name w:val="Grid Table 2 Accent 1"/>
    <w:basedOn w:val="TableNormal"/>
    <w:uiPriority w:val="47"/>
    <w:rsid w:val="00397324"/>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6">
    <w:name w:val="Grid Table 2 Accent 6"/>
    <w:basedOn w:val="TableNormal"/>
    <w:uiPriority w:val="47"/>
    <w:rsid w:val="00397324"/>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2-Accent5">
    <w:name w:val="Grid Table 2 Accent 5"/>
    <w:basedOn w:val="TableNormal"/>
    <w:uiPriority w:val="47"/>
    <w:rsid w:val="00397324"/>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customStyle="1" w:styleId="UnresolvedMention1">
    <w:name w:val="Unresolved Mention1"/>
    <w:basedOn w:val="DefaultParagraphFont"/>
    <w:uiPriority w:val="99"/>
    <w:semiHidden/>
    <w:unhideWhenUsed/>
    <w:rsid w:val="000621E6"/>
    <w:rPr>
      <w:color w:val="605E5C"/>
      <w:shd w:val="clear" w:color="auto" w:fill="E1DFDD"/>
    </w:rPr>
  </w:style>
  <w:style w:type="table" w:customStyle="1" w:styleId="Tablaconcuadrcula21">
    <w:name w:val="Tabla con cuadrícula21"/>
    <w:basedOn w:val="TableNormal"/>
    <w:next w:val="TableGrid"/>
    <w:uiPriority w:val="99"/>
    <w:rsid w:val="001E480D"/>
    <w:pPr>
      <w:spacing w:before="20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151E5"/>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3">
    <w:name w:val="Grid Table 4 Accent 3"/>
    <w:basedOn w:val="TableNormal"/>
    <w:uiPriority w:val="49"/>
    <w:rsid w:val="009151E5"/>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5Dark-Accent1">
    <w:name w:val="Grid Table 5 Dark Accent 1"/>
    <w:basedOn w:val="TableNormal"/>
    <w:uiPriority w:val="50"/>
    <w:rsid w:val="00915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paragraph" w:styleId="TOC1">
    <w:name w:val="toc 1"/>
    <w:basedOn w:val="Normal"/>
    <w:next w:val="Normal"/>
    <w:autoRedefine/>
    <w:uiPriority w:val="39"/>
    <w:unhideWhenUsed/>
    <w:rsid w:val="00686BBB"/>
    <w:pPr>
      <w:tabs>
        <w:tab w:val="left" w:pos="440"/>
        <w:tab w:val="right" w:leader="dot" w:pos="8494"/>
      </w:tabs>
      <w:spacing w:after="100"/>
    </w:pPr>
  </w:style>
  <w:style w:type="paragraph" w:styleId="TOC2">
    <w:name w:val="toc 2"/>
    <w:basedOn w:val="Normal"/>
    <w:next w:val="Normal"/>
    <w:autoRedefine/>
    <w:uiPriority w:val="39"/>
    <w:unhideWhenUsed/>
    <w:rsid w:val="0066428D"/>
    <w:pPr>
      <w:spacing w:after="100"/>
      <w:ind w:left="200"/>
    </w:pPr>
  </w:style>
  <w:style w:type="paragraph" w:styleId="Revision">
    <w:name w:val="Revision"/>
    <w:hidden/>
    <w:uiPriority w:val="99"/>
    <w:semiHidden/>
    <w:rsid w:val="00D64F17"/>
    <w:pPr>
      <w:spacing w:before="0" w:after="0" w:line="240" w:lineRule="auto"/>
    </w:pPr>
  </w:style>
  <w:style w:type="character" w:customStyle="1" w:styleId="UnresolvedMention2">
    <w:name w:val="Unresolved Mention2"/>
    <w:basedOn w:val="DefaultParagraphFont"/>
    <w:uiPriority w:val="99"/>
    <w:semiHidden/>
    <w:unhideWhenUsed/>
    <w:rsid w:val="0034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0214">
      <w:bodyDiv w:val="1"/>
      <w:marLeft w:val="0"/>
      <w:marRight w:val="0"/>
      <w:marTop w:val="0"/>
      <w:marBottom w:val="0"/>
      <w:divBdr>
        <w:top w:val="none" w:sz="0" w:space="0" w:color="auto"/>
        <w:left w:val="none" w:sz="0" w:space="0" w:color="auto"/>
        <w:bottom w:val="none" w:sz="0" w:space="0" w:color="auto"/>
        <w:right w:val="none" w:sz="0" w:space="0" w:color="auto"/>
      </w:divBdr>
      <w:divsChild>
        <w:div w:id="265306120">
          <w:marLeft w:val="547"/>
          <w:marRight w:val="0"/>
          <w:marTop w:val="96"/>
          <w:marBottom w:val="0"/>
          <w:divBdr>
            <w:top w:val="none" w:sz="0" w:space="0" w:color="auto"/>
            <w:left w:val="none" w:sz="0" w:space="0" w:color="auto"/>
            <w:bottom w:val="none" w:sz="0" w:space="0" w:color="auto"/>
            <w:right w:val="none" w:sz="0" w:space="0" w:color="auto"/>
          </w:divBdr>
        </w:div>
        <w:div w:id="1827043293">
          <w:marLeft w:val="547"/>
          <w:marRight w:val="0"/>
          <w:marTop w:val="96"/>
          <w:marBottom w:val="0"/>
          <w:divBdr>
            <w:top w:val="none" w:sz="0" w:space="0" w:color="auto"/>
            <w:left w:val="none" w:sz="0" w:space="0" w:color="auto"/>
            <w:bottom w:val="none" w:sz="0" w:space="0" w:color="auto"/>
            <w:right w:val="none" w:sz="0" w:space="0" w:color="auto"/>
          </w:divBdr>
        </w:div>
      </w:divsChild>
    </w:div>
    <w:div w:id="209002069">
      <w:bodyDiv w:val="1"/>
      <w:marLeft w:val="0"/>
      <w:marRight w:val="0"/>
      <w:marTop w:val="0"/>
      <w:marBottom w:val="0"/>
      <w:divBdr>
        <w:top w:val="none" w:sz="0" w:space="0" w:color="auto"/>
        <w:left w:val="none" w:sz="0" w:space="0" w:color="auto"/>
        <w:bottom w:val="none" w:sz="0" w:space="0" w:color="auto"/>
        <w:right w:val="none" w:sz="0" w:space="0" w:color="auto"/>
      </w:divBdr>
    </w:div>
    <w:div w:id="247619550">
      <w:bodyDiv w:val="1"/>
      <w:marLeft w:val="0"/>
      <w:marRight w:val="0"/>
      <w:marTop w:val="0"/>
      <w:marBottom w:val="0"/>
      <w:divBdr>
        <w:top w:val="none" w:sz="0" w:space="0" w:color="auto"/>
        <w:left w:val="none" w:sz="0" w:space="0" w:color="auto"/>
        <w:bottom w:val="none" w:sz="0" w:space="0" w:color="auto"/>
        <w:right w:val="none" w:sz="0" w:space="0" w:color="auto"/>
      </w:divBdr>
    </w:div>
    <w:div w:id="441847818">
      <w:bodyDiv w:val="1"/>
      <w:marLeft w:val="0"/>
      <w:marRight w:val="0"/>
      <w:marTop w:val="0"/>
      <w:marBottom w:val="0"/>
      <w:divBdr>
        <w:top w:val="none" w:sz="0" w:space="0" w:color="auto"/>
        <w:left w:val="none" w:sz="0" w:space="0" w:color="auto"/>
        <w:bottom w:val="none" w:sz="0" w:space="0" w:color="auto"/>
        <w:right w:val="none" w:sz="0" w:space="0" w:color="auto"/>
      </w:divBdr>
    </w:div>
    <w:div w:id="618953858">
      <w:bodyDiv w:val="1"/>
      <w:marLeft w:val="0"/>
      <w:marRight w:val="0"/>
      <w:marTop w:val="0"/>
      <w:marBottom w:val="0"/>
      <w:divBdr>
        <w:top w:val="none" w:sz="0" w:space="0" w:color="auto"/>
        <w:left w:val="none" w:sz="0" w:space="0" w:color="auto"/>
        <w:bottom w:val="none" w:sz="0" w:space="0" w:color="auto"/>
        <w:right w:val="none" w:sz="0" w:space="0" w:color="auto"/>
      </w:divBdr>
    </w:div>
    <w:div w:id="903954906">
      <w:bodyDiv w:val="1"/>
      <w:marLeft w:val="0"/>
      <w:marRight w:val="0"/>
      <w:marTop w:val="0"/>
      <w:marBottom w:val="0"/>
      <w:divBdr>
        <w:top w:val="none" w:sz="0" w:space="0" w:color="auto"/>
        <w:left w:val="none" w:sz="0" w:space="0" w:color="auto"/>
        <w:bottom w:val="none" w:sz="0" w:space="0" w:color="auto"/>
        <w:right w:val="none" w:sz="0" w:space="0" w:color="auto"/>
      </w:divBdr>
    </w:div>
    <w:div w:id="1020350491">
      <w:bodyDiv w:val="1"/>
      <w:marLeft w:val="0"/>
      <w:marRight w:val="0"/>
      <w:marTop w:val="0"/>
      <w:marBottom w:val="0"/>
      <w:divBdr>
        <w:top w:val="none" w:sz="0" w:space="0" w:color="auto"/>
        <w:left w:val="none" w:sz="0" w:space="0" w:color="auto"/>
        <w:bottom w:val="none" w:sz="0" w:space="0" w:color="auto"/>
        <w:right w:val="none" w:sz="0" w:space="0" w:color="auto"/>
      </w:divBdr>
    </w:div>
    <w:div w:id="1133793697">
      <w:bodyDiv w:val="1"/>
      <w:marLeft w:val="0"/>
      <w:marRight w:val="0"/>
      <w:marTop w:val="0"/>
      <w:marBottom w:val="0"/>
      <w:divBdr>
        <w:top w:val="none" w:sz="0" w:space="0" w:color="auto"/>
        <w:left w:val="none" w:sz="0" w:space="0" w:color="auto"/>
        <w:bottom w:val="none" w:sz="0" w:space="0" w:color="auto"/>
        <w:right w:val="none" w:sz="0" w:space="0" w:color="auto"/>
      </w:divBdr>
    </w:div>
    <w:div w:id="1136995616">
      <w:bodyDiv w:val="1"/>
      <w:marLeft w:val="0"/>
      <w:marRight w:val="0"/>
      <w:marTop w:val="0"/>
      <w:marBottom w:val="0"/>
      <w:divBdr>
        <w:top w:val="none" w:sz="0" w:space="0" w:color="auto"/>
        <w:left w:val="none" w:sz="0" w:space="0" w:color="auto"/>
        <w:bottom w:val="none" w:sz="0" w:space="0" w:color="auto"/>
        <w:right w:val="none" w:sz="0" w:space="0" w:color="auto"/>
      </w:divBdr>
      <w:divsChild>
        <w:div w:id="1172255539">
          <w:marLeft w:val="562"/>
          <w:marRight w:val="0"/>
          <w:marTop w:val="96"/>
          <w:marBottom w:val="0"/>
          <w:divBdr>
            <w:top w:val="none" w:sz="0" w:space="0" w:color="auto"/>
            <w:left w:val="none" w:sz="0" w:space="0" w:color="auto"/>
            <w:bottom w:val="none" w:sz="0" w:space="0" w:color="auto"/>
            <w:right w:val="none" w:sz="0" w:space="0" w:color="auto"/>
          </w:divBdr>
        </w:div>
      </w:divsChild>
    </w:div>
    <w:div w:id="1264074846">
      <w:bodyDiv w:val="1"/>
      <w:marLeft w:val="0"/>
      <w:marRight w:val="0"/>
      <w:marTop w:val="0"/>
      <w:marBottom w:val="0"/>
      <w:divBdr>
        <w:top w:val="none" w:sz="0" w:space="0" w:color="auto"/>
        <w:left w:val="none" w:sz="0" w:space="0" w:color="auto"/>
        <w:bottom w:val="none" w:sz="0" w:space="0" w:color="auto"/>
        <w:right w:val="none" w:sz="0" w:space="0" w:color="auto"/>
      </w:divBdr>
    </w:div>
    <w:div w:id="1264994110">
      <w:bodyDiv w:val="1"/>
      <w:marLeft w:val="0"/>
      <w:marRight w:val="0"/>
      <w:marTop w:val="0"/>
      <w:marBottom w:val="0"/>
      <w:divBdr>
        <w:top w:val="none" w:sz="0" w:space="0" w:color="auto"/>
        <w:left w:val="none" w:sz="0" w:space="0" w:color="auto"/>
        <w:bottom w:val="none" w:sz="0" w:space="0" w:color="auto"/>
        <w:right w:val="none" w:sz="0" w:space="0" w:color="auto"/>
      </w:divBdr>
    </w:div>
    <w:div w:id="1353189656">
      <w:bodyDiv w:val="1"/>
      <w:marLeft w:val="0"/>
      <w:marRight w:val="0"/>
      <w:marTop w:val="0"/>
      <w:marBottom w:val="0"/>
      <w:divBdr>
        <w:top w:val="none" w:sz="0" w:space="0" w:color="auto"/>
        <w:left w:val="none" w:sz="0" w:space="0" w:color="auto"/>
        <w:bottom w:val="none" w:sz="0" w:space="0" w:color="auto"/>
        <w:right w:val="none" w:sz="0" w:space="0" w:color="auto"/>
      </w:divBdr>
    </w:div>
    <w:div w:id="1397237188">
      <w:bodyDiv w:val="1"/>
      <w:marLeft w:val="0"/>
      <w:marRight w:val="0"/>
      <w:marTop w:val="0"/>
      <w:marBottom w:val="0"/>
      <w:divBdr>
        <w:top w:val="none" w:sz="0" w:space="0" w:color="auto"/>
        <w:left w:val="none" w:sz="0" w:space="0" w:color="auto"/>
        <w:bottom w:val="none" w:sz="0" w:space="0" w:color="auto"/>
        <w:right w:val="none" w:sz="0" w:space="0" w:color="auto"/>
      </w:divBdr>
    </w:div>
    <w:div w:id="1549761606">
      <w:bodyDiv w:val="1"/>
      <w:marLeft w:val="0"/>
      <w:marRight w:val="0"/>
      <w:marTop w:val="0"/>
      <w:marBottom w:val="0"/>
      <w:divBdr>
        <w:top w:val="none" w:sz="0" w:space="0" w:color="auto"/>
        <w:left w:val="none" w:sz="0" w:space="0" w:color="auto"/>
        <w:bottom w:val="none" w:sz="0" w:space="0" w:color="auto"/>
        <w:right w:val="none" w:sz="0" w:space="0" w:color="auto"/>
      </w:divBdr>
    </w:div>
    <w:div w:id="1600335976">
      <w:bodyDiv w:val="1"/>
      <w:marLeft w:val="0"/>
      <w:marRight w:val="0"/>
      <w:marTop w:val="0"/>
      <w:marBottom w:val="0"/>
      <w:divBdr>
        <w:top w:val="none" w:sz="0" w:space="0" w:color="auto"/>
        <w:left w:val="none" w:sz="0" w:space="0" w:color="auto"/>
        <w:bottom w:val="none" w:sz="0" w:space="0" w:color="auto"/>
        <w:right w:val="none" w:sz="0" w:space="0" w:color="auto"/>
      </w:divBdr>
    </w:div>
    <w:div w:id="1623993094">
      <w:bodyDiv w:val="1"/>
      <w:marLeft w:val="0"/>
      <w:marRight w:val="0"/>
      <w:marTop w:val="0"/>
      <w:marBottom w:val="0"/>
      <w:divBdr>
        <w:top w:val="none" w:sz="0" w:space="0" w:color="auto"/>
        <w:left w:val="none" w:sz="0" w:space="0" w:color="auto"/>
        <w:bottom w:val="none" w:sz="0" w:space="0" w:color="auto"/>
        <w:right w:val="none" w:sz="0" w:space="0" w:color="auto"/>
      </w:divBdr>
    </w:div>
    <w:div w:id="1658338822">
      <w:bodyDiv w:val="1"/>
      <w:marLeft w:val="0"/>
      <w:marRight w:val="0"/>
      <w:marTop w:val="0"/>
      <w:marBottom w:val="0"/>
      <w:divBdr>
        <w:top w:val="none" w:sz="0" w:space="0" w:color="auto"/>
        <w:left w:val="none" w:sz="0" w:space="0" w:color="auto"/>
        <w:bottom w:val="none" w:sz="0" w:space="0" w:color="auto"/>
        <w:right w:val="none" w:sz="0" w:space="0" w:color="auto"/>
      </w:divBdr>
    </w:div>
    <w:div w:id="1803301717">
      <w:bodyDiv w:val="1"/>
      <w:marLeft w:val="0"/>
      <w:marRight w:val="0"/>
      <w:marTop w:val="0"/>
      <w:marBottom w:val="0"/>
      <w:divBdr>
        <w:top w:val="none" w:sz="0" w:space="0" w:color="auto"/>
        <w:left w:val="none" w:sz="0" w:space="0" w:color="auto"/>
        <w:bottom w:val="none" w:sz="0" w:space="0" w:color="auto"/>
        <w:right w:val="none" w:sz="0" w:space="0" w:color="auto"/>
      </w:divBdr>
    </w:div>
    <w:div w:id="1895119755">
      <w:bodyDiv w:val="1"/>
      <w:marLeft w:val="0"/>
      <w:marRight w:val="0"/>
      <w:marTop w:val="0"/>
      <w:marBottom w:val="0"/>
      <w:divBdr>
        <w:top w:val="none" w:sz="0" w:space="0" w:color="auto"/>
        <w:left w:val="none" w:sz="0" w:space="0" w:color="auto"/>
        <w:bottom w:val="none" w:sz="0" w:space="0" w:color="auto"/>
        <w:right w:val="none" w:sz="0" w:space="0" w:color="auto"/>
      </w:divBdr>
    </w:div>
    <w:div w:id="1921791455">
      <w:bodyDiv w:val="1"/>
      <w:marLeft w:val="0"/>
      <w:marRight w:val="0"/>
      <w:marTop w:val="0"/>
      <w:marBottom w:val="0"/>
      <w:divBdr>
        <w:top w:val="none" w:sz="0" w:space="0" w:color="auto"/>
        <w:left w:val="none" w:sz="0" w:space="0" w:color="auto"/>
        <w:bottom w:val="none" w:sz="0" w:space="0" w:color="auto"/>
        <w:right w:val="none" w:sz="0" w:space="0" w:color="auto"/>
      </w:divBdr>
    </w:div>
    <w:div w:id="1995718110">
      <w:bodyDiv w:val="1"/>
      <w:marLeft w:val="0"/>
      <w:marRight w:val="0"/>
      <w:marTop w:val="0"/>
      <w:marBottom w:val="0"/>
      <w:divBdr>
        <w:top w:val="none" w:sz="0" w:space="0" w:color="auto"/>
        <w:left w:val="none" w:sz="0" w:space="0" w:color="auto"/>
        <w:bottom w:val="none" w:sz="0" w:space="0" w:color="auto"/>
        <w:right w:val="none" w:sz="0" w:space="0" w:color="auto"/>
      </w:divBdr>
    </w:div>
    <w:div w:id="2056856563">
      <w:bodyDiv w:val="1"/>
      <w:marLeft w:val="0"/>
      <w:marRight w:val="0"/>
      <w:marTop w:val="0"/>
      <w:marBottom w:val="0"/>
      <w:divBdr>
        <w:top w:val="none" w:sz="0" w:space="0" w:color="auto"/>
        <w:left w:val="none" w:sz="0" w:space="0" w:color="auto"/>
        <w:bottom w:val="none" w:sz="0" w:space="0" w:color="auto"/>
        <w:right w:val="none" w:sz="0" w:space="0" w:color="auto"/>
      </w:divBdr>
    </w:div>
    <w:div w:id="2069760200">
      <w:bodyDiv w:val="1"/>
      <w:marLeft w:val="0"/>
      <w:marRight w:val="0"/>
      <w:marTop w:val="0"/>
      <w:marBottom w:val="0"/>
      <w:divBdr>
        <w:top w:val="none" w:sz="0" w:space="0" w:color="auto"/>
        <w:left w:val="none" w:sz="0" w:space="0" w:color="auto"/>
        <w:bottom w:val="none" w:sz="0" w:space="0" w:color="auto"/>
        <w:right w:val="none" w:sz="0" w:space="0" w:color="auto"/>
      </w:divBdr>
    </w:div>
    <w:div w:id="2088190220">
      <w:bodyDiv w:val="1"/>
      <w:marLeft w:val="0"/>
      <w:marRight w:val="0"/>
      <w:marTop w:val="0"/>
      <w:marBottom w:val="0"/>
      <w:divBdr>
        <w:top w:val="none" w:sz="0" w:space="0" w:color="auto"/>
        <w:left w:val="none" w:sz="0" w:space="0" w:color="auto"/>
        <w:bottom w:val="none" w:sz="0" w:space="0" w:color="auto"/>
        <w:right w:val="none" w:sz="0" w:space="0" w:color="auto"/>
      </w:divBdr>
      <w:divsChild>
        <w:div w:id="1063024540">
          <w:marLeft w:val="0"/>
          <w:marRight w:val="120"/>
          <w:marTop w:val="0"/>
          <w:marBottom w:val="0"/>
          <w:divBdr>
            <w:top w:val="none" w:sz="0" w:space="0" w:color="auto"/>
            <w:left w:val="none" w:sz="0" w:space="0" w:color="auto"/>
            <w:bottom w:val="none" w:sz="0" w:space="0" w:color="auto"/>
            <w:right w:val="none" w:sz="0" w:space="0" w:color="auto"/>
          </w:divBdr>
        </w:div>
      </w:divsChild>
    </w:div>
    <w:div w:id="2126920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Usuario/Downloads/manual-puestos-unidad-equidad-generos-2012......pdf" TargetMode="Externa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3EB4-48BA-4DA1-A58C-6221A2F1AE7F}"/>
</file>

<file path=customXml/itemProps2.xml><?xml version="1.0" encoding="utf-8"?>
<ds:datastoreItem xmlns:ds="http://schemas.openxmlformats.org/officeDocument/2006/customXml" ds:itemID="{C9D3696D-41A3-4F71-A02D-707DFD5782DC}">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9DAB31B5-8623-410F-93FF-FE2A51F49EF9}">
  <ds:schemaRefs>
    <ds:schemaRef ds:uri="http://schemas.microsoft.com/sharepoint/v3/contenttype/forms"/>
  </ds:schemaRefs>
</ds:datastoreItem>
</file>

<file path=customXml/itemProps4.xml><?xml version="1.0" encoding="utf-8"?>
<ds:datastoreItem xmlns:ds="http://schemas.openxmlformats.org/officeDocument/2006/customXml" ds:itemID="{A8DA5D38-05BE-4B4B-A551-EFD25978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35</Pages>
  <Words>8824</Words>
  <Characters>48536</Characters>
  <Application>Microsoft Office Word</Application>
  <DocSecurity>0</DocSecurity>
  <Lines>404</Lines>
  <Paragraphs>114</Paragraphs>
  <ScaleCrop>false</ScaleCrop>
  <Company/>
  <LinksUpToDate>false</LinksUpToDate>
  <CharactersWithSpaces>57246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Lylian Mires</dc:creator>
  <cp:keywords/>
  <dc:description/>
  <cp:lastModifiedBy>Camacho, Maria Claudia</cp:lastModifiedBy>
  <cp:revision>50</cp:revision>
  <dcterms:created xsi:type="dcterms:W3CDTF">2022-08-11T18:11:00Z</dcterms:created>
  <dcterms:modified xsi:type="dcterms:W3CDTF">2022-08-11T22:37:00Z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